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CSE 404 Car Price Deal Finder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Sections 5 &amp; 6: Methodology and Initial Results (Daniel Helo)</w:t>
      </w:r>
    </w:p>
    <w:p>
      <w:pPr>
        <w:pStyle w:val="Heading1"/>
      </w:pPr>
      <w:r>
        <w:t xml:space="preserve">5. Methodology</w:t>
      </w:r>
    </w:p>
    <w:p>
      <w:pPr>
        <w:pStyle w:val="Heading2"/>
      </w:pPr>
      <w:r>
        <w:t xml:space="preserve">5.1 Preprocessing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After merging three data sources (Hugging Face, DVM-CAR, UCI), we removed the 201 UCI rows due to missing year, mileage, and model fields, yielding 276,627 listings with 9 features. Prices were clipped at the 1st and 99th percentiles ($699 to $89,990) to remove outliers. High-cardinality categoricals (make: 86 unique, model: 887 unique) were target-encoded (Micci-Barreca, 2001) to preserve price signal without dimensionality explosion. Low-cardinality categoricals (fuel_type, transmission) were one-hot encoded. Numerical features (year, engine_size, mileage) were z-score standardized. All encoding was fit on training data only. The dataset was split 70/15/15 into train (193,638), validation (41,494), and test (41,495) sets.</w:t>
      </w:r>
    </w:p>
    <w:p>
      <w:pPr>
        <w:pStyle w:val="Heading2"/>
      </w:pPr>
      <w:r>
        <w:t xml:space="preserve">5.2 Models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Ridge Regression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(Hoerl and Kennard, 1970) serves as our linear baseline, with alpha tuned via 5-fold cross-validation (optimal alpha = 0.02).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K-Nearest Neighbors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predicts price as the distance-weighted mean of k nearest neighbors. Vaneesha et al. (2024) found KNN competitive with SVM for car pricing. We tuned k over [3, 30] with 3-fold CV on a 50K subsample (Figure 2).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Support Vector Regression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was evaluated in linear (LinearSVR) and RBF-kernel variants. Both were trained on a 30K subsample due to O(n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</w:rPr>
        <w:t xml:space="preserve">2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 memory scaling.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TabNet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(Arik and Pfister, 2021) is our complex neural network. It uses sequential sparse attention masks to select features at each decision step, qualifying as an attention-based architecture. </w:t>
      </w:r>
      <w:r>
        <w:rPr>
          <w:rFonts w:ascii="Times New Roman" w:cs="Times New Roman" w:eastAsia="Times New Roman" w:hAnsi="Times New Roman"/>
          <w:i/>
          <w:iCs/>
          <w:color w:val="CC0000"/>
          <w:sz w:val="22"/>
          <w:szCs w:val="22"/>
        </w:rPr>
        <w:t xml:space="preserve">[Mark: insert architecture params and training details here.]</w:t>
      </w:r>
    </w:p>
    <w:p>
      <w:pPr>
        <w:pStyle w:val="Heading2"/>
      </w:pPr>
      <w:r>
        <w:t xml:space="preserve">5.3 Deal Scoring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We convert regression output to a deal score: (predicted - actual) / predicted. Listings exceeding a threshold tau are classified as deals.</w:t>
      </w:r>
    </w:p>
    <w:p>
      <w:pPr>
        <w:pStyle w:val="Heading1"/>
      </w:pPr>
      <w:r>
        <w:t xml:space="preserve">6. Initial Results</w:t>
      </w:r>
    </w:p>
    <w:p>
      <w:pPr>
        <w:pStyle w:val="Heading2"/>
      </w:pPr>
      <w:r>
        <w:t xml:space="preserve">6.1 Regression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KNN achieves the lowest MAE of $1,309 (13.5% of median price $9,699), explaining 97.1% of variance. Ridge captures only 82.2%, confirming strong non-linear structure in car pricing. SVR underperforms due to its 30K training subsample.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Table 1: Regression performance on held-out test set (n = 41,495)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90"/>
        <w:gridCol w:w="1590"/>
        <w:gridCol w:w="1590"/>
        <w:gridCol w:w="159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15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MAE ($)</w:t>
            </w:r>
          </w:p>
        </w:tc>
        <w:tc>
          <w:tcPr>
            <w:tcW w:type="dxa" w:w="15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RMSE ($)</w:t>
            </w:r>
          </w:p>
        </w:tc>
        <w:tc>
          <w:tcPr>
            <w:tcW w:type="dxa" w:w="15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R²</w:t>
            </w:r>
          </w:p>
        </w:tc>
        <w:tc>
          <w:tcPr>
            <w:tcW w:type="dxa" w:w="15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KNN (k=10)</w:t>
            </w:r>
          </w:p>
        </w:tc>
        <w:tc>
          <w:tcPr>
            <w:tcW w:type="dxa" w:w="15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1,309</w:t>
            </w:r>
          </w:p>
        </w:tc>
        <w:tc>
          <w:tcPr>
            <w:tcW w:type="dxa" w:w="15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2,512</w:t>
            </w:r>
          </w:p>
        </w:tc>
        <w:tc>
          <w:tcPr>
            <w:tcW w:type="dxa" w:w="15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0.971</w:t>
            </w:r>
          </w:p>
        </w:tc>
        <w:tc>
          <w:tcPr>
            <w:tcW w:type="dxa" w:w="15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Best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Ridge</w:t>
            </w:r>
          </w:p>
        </w:tc>
        <w:tc>
          <w:tcPr>
            <w:tcW w:type="dxa" w:w="15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3,876</w:t>
            </w:r>
          </w:p>
        </w:tc>
        <w:tc>
          <w:tcPr>
            <w:tcW w:type="dxa" w:w="15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6,180</w:t>
            </w:r>
          </w:p>
        </w:tc>
        <w:tc>
          <w:tcPr>
            <w:tcW w:type="dxa" w:w="15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0.822</w:t>
            </w:r>
          </w:p>
        </w:tc>
        <w:tc>
          <w:tcPr>
            <w:tcW w:type="dxa" w:w="15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Baseline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LinearSVR</w:t>
            </w:r>
          </w:p>
        </w:tc>
        <w:tc>
          <w:tcPr>
            <w:tcW w:type="dxa" w:w="15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4,271</w:t>
            </w:r>
          </w:p>
        </w:tc>
        <w:tc>
          <w:tcPr>
            <w:tcW w:type="dxa" w:w="15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6,821</w:t>
            </w:r>
          </w:p>
        </w:tc>
        <w:tc>
          <w:tcPr>
            <w:tcW w:type="dxa" w:w="15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0.784</w:t>
            </w:r>
          </w:p>
        </w:tc>
        <w:tc>
          <w:tcPr>
            <w:tcW w:type="dxa" w:w="15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30K sample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SVR (RBF)</w:t>
            </w:r>
          </w:p>
        </w:tc>
        <w:tc>
          <w:tcPr>
            <w:tcW w:type="dxa" w:w="15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5,206</w:t>
            </w:r>
          </w:p>
        </w:tc>
        <w:tc>
          <w:tcPr>
            <w:tcW w:type="dxa" w:w="15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8,679</w:t>
            </w:r>
          </w:p>
        </w:tc>
        <w:tc>
          <w:tcPr>
            <w:tcW w:type="dxa" w:w="15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0.650</w:t>
            </w:r>
          </w:p>
        </w:tc>
        <w:tc>
          <w:tcPr>
            <w:tcW w:type="dxa" w:w="15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30K sample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TabNet*</w:t>
            </w:r>
          </w:p>
        </w:tc>
        <w:tc>
          <w:tcPr>
            <w:tcW w:type="dxa" w:w="15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23,386</w:t>
            </w:r>
          </w:p>
        </w:tc>
        <w:tc>
          <w:tcPr>
            <w:tcW w:type="dxa" w:w="15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--</w:t>
            </w:r>
          </w:p>
        </w:tc>
        <w:tc>
          <w:tcPr>
            <w:tcW w:type="dxa" w:w="15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--</w:t>
            </w:r>
          </w:p>
        </w:tc>
        <w:tc>
          <w:tcPr>
            <w:tcW w:type="dxa" w:w="15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 feats, 1K rows</w:t>
            </w:r>
          </w:p>
        </w:tc>
      </w:tr>
    </w:tbl>
    <w:p>
      <w:pPr>
        <w:spacing w:after="80" w:before="200"/>
        <w:jc w:val="center"/>
      </w:pPr>
      <w:r>
        <w:drawing>
          <wp:inline distT="0" distB="0" distL="0" distR="0">
            <wp:extent cx="4953000" cy="1857375"/>
            <wp:effectExtent t="0" r="0" b="0" l="0"/>
            <wp:docPr id="1" name="fig1_model_comparison.png" descr="Figure 1: Model comparison on MAE and R-squared" title="Figure 1: Model comparison on MAE and R-squa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Figure 1: Model comparison on MAE and R-squared</w:t>
      </w:r>
    </w:p>
    <w:p>
      <w:pPr>
        <w:spacing w:after="80" w:before="200"/>
        <w:jc w:val="center"/>
      </w:pPr>
      <w:r>
        <w:drawing>
          <wp:inline distT="0" distB="0" distL="0" distR="0">
            <wp:extent cx="3429000" cy="3429000"/>
            <wp:effectExtent t="0" r="0" b="0" l="0"/>
            <wp:docPr id="1" name="fig3_actual_vs_predicted.png" descr="Figure 3: KNN actual vs. predicted price (5K sample)" title="Figure 3: KNN actual vs. predicted price (5K sampl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Figure 3: KNN actual vs. predicted price (5K sample)</w:t>
      </w:r>
    </w:p>
    <w:p>
      <w:pPr>
        <w:pStyle w:val="Heading2"/>
      </w:pPr>
      <w:r>
        <w:t xml:space="preserve">6.2 Hyperparameter Sensitivity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Figure 2 shows how KNN validation MAE varies with k. The curve shows the classic bias-variance tradeoff: k=1 overfits (MAE=$1,798), performance peaks near k=5 (MAE=$1,588), then degrades as k increases (k=30, MAE=$1,829).</w:t>
      </w:r>
    </w:p>
    <w:p>
      <w:pPr>
        <w:spacing w:after="80" w:before="200"/>
        <w:jc w:val="center"/>
      </w:pPr>
      <w:r>
        <w:drawing>
          <wp:inline distT="0" distB="0" distL="0" distR="0">
            <wp:extent cx="4191000" cy="2619375"/>
            <wp:effectExtent t="0" r="0" b="0" l="0"/>
            <wp:docPr id="1" name="fig2_knn_k_curve.png" descr="Figure 2: KNN hyperparameter tuning -- effect of k on validation MAE" title="Figure 2: KNN hyperparameter tuning -- effect of k on validation M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Figure 2: KNN hyperparameter tuning -- effect of k on validation MAE</w:t>
      </w:r>
    </w:p>
    <w:p>
      <w:pPr>
        <w:pStyle w:val="Heading2"/>
      </w:pPr>
      <w:r>
        <w:t xml:space="preserve">6.3 Classification Metrics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We discretized prices into Low (&lt;$5K), Mid ($5K-$15K), and High (&gt;$15K) bins to compute required classification metrics.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Table 2: Classification metrics (price-bin, weighted average)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Accuracy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Precision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Recall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F1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KNN (k=10)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0.929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0.929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0.929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0.929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Ridge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0.821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0.825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0.821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0.820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LinearSVR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0.746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0.773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0.746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0.739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SVR (RBF)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0.692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0.706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0.692</w:t>
            </w:r>
          </w:p>
        </w:tc>
        <w:tc>
          <w:tcPr>
            <w:tcW w:type="dxa" w:w="1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0.687</w:t>
            </w:r>
          </w:p>
        </w:tc>
      </w:tr>
    </w:tbl>
    <w:p>
      <w:pPr>
        <w:pStyle w:val="Heading2"/>
      </w:pPr>
      <w:r>
        <w:t xml:space="preserve">6.4 Error Analysis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Figure 4 shows KNN residuals are centered near zero. Error magnitude increases with predicted price, which is expected since higher-priced vehicles have more price variation.</w:t>
      </w:r>
    </w:p>
    <w:p>
      <w:pPr>
        <w:spacing w:after="80" w:before="200"/>
        <w:jc w:val="center"/>
      </w:pPr>
      <w:r>
        <w:drawing>
          <wp:inline distT="0" distB="0" distL="0" distR="0">
            <wp:extent cx="4953000" cy="1857375"/>
            <wp:effectExtent t="0" r="0" b="0" l="0"/>
            <wp:docPr id="1" name="fig4_residuals.png" descr="Figure 4: KNN residual distribution and residuals vs. predicted price" title="Figure 4: KNN residual distribution and residuals vs. predicted pr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Figure 4: KNN residual distribution and residuals vs. predicted price</w:t>
      </w:r>
    </w:p>
    <w:p>
      <w:pPr>
        <w:pStyle w:val="Heading2"/>
      </w:pPr>
      <w:r>
        <w:t xml:space="preserve">6.5 Deal Scoring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At tau = 0.20, KNN flags 8.4% of test listings (3,493 / 41,495) as deals with average savings of $2,309. The inverse relationship between threshold and volume suggests well-calibrated residuals.</w:t>
      </w:r>
    </w:p>
    <w:p>
      <w:pPr>
        <w:spacing w:after="80" w:before="200"/>
        <w:jc w:val="center"/>
      </w:pPr>
      <w:r>
        <w:drawing>
          <wp:inline distT="0" distB="0" distL="0" distR="0">
            <wp:extent cx="4191000" cy="2619375"/>
            <wp:effectExtent t="0" r="0" b="0" l="0"/>
            <wp:docPr id="1" name="fig5_deal_scores.png" descr="Figure 5: Deal score distribution with threshold markers" title="Figure 5: Deal score distribution with threshold mark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Figure 5: Deal score distribution with threshold markers</w:t>
      </w:r>
    </w:p>
    <w:p>
      <w:pPr>
        <w:pStyle w:val="Heading2"/>
      </w:pPr>
      <w:r>
        <w:t xml:space="preserve">6.6 TabNet Training Dynamics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Figure 6 shows TabNet training loss plateaus after epoch 4, with validation MAE spiking after epoch 3, indicating overfitting on the limited 1K-row, 3-feature training set. Full-feature re-run pending.</w:t>
      </w:r>
    </w:p>
    <w:p>
      <w:pPr>
        <w:spacing w:after="80" w:before="200"/>
        <w:jc w:val="center"/>
      </w:pPr>
      <w:r>
        <w:drawing>
          <wp:inline distT="0" distB="0" distL="0" distR="0">
            <wp:extent cx="4953000" cy="1857375"/>
            <wp:effectExtent t="0" r="0" b="0" l="0"/>
            <wp:docPr id="1" name="fig6_tabnet_training.png" descr="Figure 6: TabNet training loss and validation MAE (initial run)" title="Figure 6: TabNet training loss and validation MAE (initial ru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Figure 6: TabNet training loss and validation MAE (initial run)</w:t>
      </w:r>
    </w:p>
    <w:p>
      <w:pPr>
        <w:pStyle w:val="Heading2"/>
      </w:pPr>
      <w:r>
        <w:t xml:space="preserve">6.7 Discussion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Feature engineering dominated model choice: adding target-encoded make/model reduced MAE 18x compared to TabNet's initial 3-feature run. KNN's strength is domain-specific, as car pricing is naturally clustered by make, model, year, and mileage.</w:t>
      </w:r>
    </w:p>
    <w:p>
      <w:pPr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CC0000"/>
          <w:sz w:val="24"/>
          <w:szCs w:val="24"/>
        </w:rPr>
        <w:t xml:space="preserve">NOTE FOR MARK ENDICOTT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CC0000"/>
          <w:sz w:val="22"/>
          <w:szCs w:val="22"/>
        </w:rPr>
        <w:t xml:space="preserve">Please write the TabNet methodology for Section 5.2 (under the TabNet paragraph). Include: (1) architecture details (n_steps, n_d, n_a, gamma), (2) training config, (3) updated results with full features. Frame TabNet as attention-based, not feedforward. Re-run with the target-encoded feature set from helodani_model_comparison.ipynb. Report same metrics (MAE/RMSE/R² + classification on Low/Mid/High bins). Cite: Arik and Pfister (2021), AAAI.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60c8ee4c7e3a64accabdf41b09ab743d0ddde70.png"/><Relationship Id="rId8" Type="http://schemas.openxmlformats.org/officeDocument/2006/relationships/image" Target="media/6961a2f3457e8487619728b8f84d3fd8c7f59221.png"/><Relationship Id="rId9" Type="http://schemas.openxmlformats.org/officeDocument/2006/relationships/image" Target="media/6dd5788090b7074b5e91535b8c387747188591d0.png"/><Relationship Id="rId10" Type="http://schemas.openxmlformats.org/officeDocument/2006/relationships/image" Target="media/ae62114589b309cb8ee331e2d344150dc8d486e8.png"/><Relationship Id="rId11" Type="http://schemas.openxmlformats.org/officeDocument/2006/relationships/image" Target="media/0e2df8883a6ad805507f51c5550ffd5f62d0b536.png"/><Relationship Id="rId12" Type="http://schemas.openxmlformats.org/officeDocument/2006/relationships/image" Target="media/1e9df1929e8e1c523d64e2b36cf44588263f43ce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2026-03-12T00:56:18.796Z</dcterms:created>
  <dcterms:modified xsi:type="dcterms:W3CDTF">2026-03-12T00:56:18.796Z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