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</w:rPr>
        <w:t>Chapter 3 vs. Current System</w:t>
      </w:r>
    </w:p>
    <w:p>
      <w:r>
        <w:rPr>
          <w:i/>
          <w:sz w:val="24"/>
        </w:rPr>
        <w:t>Comparison of the Documented Design (Chapter 3) Against the Implemented Anihan SRMS</w:t>
      </w:r>
    </w:p>
    <w:p>
      <w:r>
        <w:rPr>
          <w:i/>
          <w:sz w:val="18"/>
        </w:rPr>
        <w:t>Project: Anihan Technical School - Student Records Management System (SRMS)</w:t>
        <w:br/>
        <w:t>Document generated: May 22, 2026  (revised - now sourced from the ITR Paper, with exact section + page citations)</w:t>
        <w:br/>
        <w:t>Chapter 3 source: Group1_ITR_Paper.pdf (the standalone Chapter-3.pdf is no longer used)</w:t>
        <w:br/>
        <w:t>Scope: Tech stack, architecture, database, use cases, and functional/non-functional requirements</w:t>
      </w:r>
    </w:p>
    <w:p/>
    <w:p>
      <w:pPr>
        <w:pStyle w:val="Heading1"/>
      </w:pPr>
      <w:r>
        <w:rPr>
          <w:color w:val="1F3A5F"/>
        </w:rPr>
        <w:t>1. Purpose and Method</w:t>
      </w:r>
    </w:p>
    <w:p>
      <w:r>
        <w:rPr>
          <w:b w:val="0"/>
          <w:i w:val="0"/>
          <w:sz w:val="22"/>
        </w:rPr>
        <w:t>This document compares the system design described in Chapter 3 of the ITR Paper (Group1_ITR_Paper.pdf - "Research Methodology and Technical Background") against the Anihan SRMS as it is actually built. It is intended to help align the capstone paper with the delivered software.</w:t>
      </w:r>
    </w:p>
    <w:p>
      <w:r>
        <w:rPr>
          <w:b w:val="0"/>
          <w:i/>
          <w:sz w:val="22"/>
        </w:rPr>
        <w:t>Source note: This revision is based entirely on Chapter 3 as it appears in the ITR Paper. The earlier standalone Chapter-3.pdf has been set aside; where the two differ, the ITR Paper is treated as the current version. Notably, the ITR Paper's Chapter 3 already corrects two earlier errors - it now names Java 25 / Spring Boot (not Python) and names MySQL.</w:t>
      </w:r>
    </w:p>
    <w:p>
      <w:r>
        <w:rPr>
          <w:b w:val="0"/>
          <w:i w:val="0"/>
          <w:sz w:val="22"/>
        </w:rPr>
        <w:t>Method: Chapter 3 of the ITR Paper was read in full (PDF pages 26-82; printed pages 19-75). The current system was examined through its source tree (Java/Spring Boot packages, JPA entities, controllers, security configuration), the canonical database schema (schema.sql), the live MySQL database, and the project memory-bank.</w:t>
      </w:r>
    </w:p>
    <w:p>
      <w:r>
        <w:rPr>
          <w:b w:val="0"/>
          <w:i/>
          <w:sz w:val="22"/>
        </w:rPr>
        <w:t>Page citations: Each row's "Chapter 3 Location" gives the section/figure/table and the page. Two page numbers are shown - "PDF p.X" is the page as a PDF viewer counts it; "printed p.Y" is the number printed in the page footer of the paper. Use whichever matches how you are reading the document.</w:t>
      </w:r>
    </w:p>
    <w:p>
      <w:r>
        <w:rPr>
          <w:b w:val="0"/>
          <w:i/>
          <w:sz w:val="22"/>
        </w:rPr>
        <w:t>Important: No code or system file was changed in producing this document. Where a difference is found, the recommendation assumes the implemented system is the source of truth and that Chapter 3 should be updated to match it.</w:t>
      </w:r>
    </w:p>
    <w:p>
      <w:r>
        <w:rPr>
          <w:b w:val="0"/>
          <w:i w:val="0"/>
          <w:sz w:val="22"/>
        </w:rPr>
        <w:t>Summary of findings: The ITR Paper's Chapter 3 is closer to the built system than the earlier draft - the technology stack is now stated correctly. The remaining differences are concentrated in the database design (Section 3.2.7 ERD and Section 3.2.8 data dictionary), the in-memory data-structures table (3.2.3), authentication and role design, the development environment (NetBeans vs. the actual IDE), and several detail-level requirement mismatches. These are catalogued by category below.</w:t>
      </w:r>
    </w:p>
    <w:p>
      <w:pPr>
        <w:pStyle w:val="Heading1"/>
      </w:pPr>
      <w:r>
        <w:rPr>
          <w:color w:val="1F3A5F"/>
        </w:rPr>
        <w:t>2. Technology Stack</w:t>
      </w:r>
    </w:p>
    <w:p>
      <w:r>
        <w:rPr>
          <w:b w:val="0"/>
          <w:i w:val="0"/>
          <w:sz w:val="22"/>
        </w:rPr>
        <w:t>The ITR Paper's Coding section now correctly names Java and Spring Boot. The remaining stack differences are minor, except the development environment.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296"/>
          </w:tcPr>
          <w:p>
            <w:r>
              <w:rPr>
                <w:b/>
                <w:sz w:val="17"/>
              </w:rPr>
              <w:t>Aspect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Chapter 3 Location (section &amp; page)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Chapter 3 (ITR Paper) States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Current System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Difference / Note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Programming language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3.3.1.4 Coding (PDF p.70-71 / printed p.63-64)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"Coding will make use of Java 25, an object-oriented programming language, for the backend... Springboot 4.0.4, Spring Security 7, Spring Validation, and Spring Data JPA frameworks."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Java 25 (LTS), Spring Boot 4.0.4, Spring Security 7, Spring Validation, Spring Data JPA.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NOW CONSISTENT. The ITR Paper corrected the earlier "Python" error. No change needed here.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Database engine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3.3.1.4 Coding (PDF p.71 / printed p.64)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"MySQL will serve as the database platform for its scalability, security, and suitability to the client's existing infrastructure."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MySQL 8, running in Docker.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Consistent. The paper could add the version (MySQL 8) and that it runs in Docker.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Development environment (IDE)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3.3.1.4 Coding (PDF p.71 / printed p.64)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"The project will make use of NetBeans as the development environment for the backend and frontend."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The project is developed in VS Code / the Antigravity IDE (per techContext.md). The build is Gradle (Kotlin DSL), not a NetBeans project.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Discrepancy. Correct the IDE name, or remove the specific IDE claim.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Build tool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3.3.1.4 Coding (PDF p.70-71 / printed p.63-64)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Not named (no build tool is mentioned).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Gradle 9.4.1 with the Kotlin DSL (build.gradle.kts).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Add Gradle (Kotlin DSL) to the Coding section.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Version control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3.3.1.4 Coding (PDF p.71 / printed p.64)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"GitHub will be used for collaboration between the developers, version control, issue tracking, and documentation."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Consistent - Git/GitHub is used.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Consistent.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Front-end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3.2.2 Internal Design (PDF p.38 / printed p.31); Section 3.3.1.4 Coding (PDF p.71 / printed p.64)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"web pages, forms, and dashboards created using HTML, CSS, and JavaScript."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HTML5, CSS3, JavaScript (ES2024), Bootstrap 5.3, DataTables 2, jQuery 4.0 - all served locally (no CDN).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Largely consistent. Chapter 3 omits Bootstrap, DataTables, and jQuery.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Data access / persistence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3.2.3 Data Structures of the Program, Table 3.2.3.1 (PDF p.39-41 / printed p.32-34)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Describes in-memory structures: HashMap&lt;String,Students&gt;, HashMap&lt;String,User&gt;, ArrayList&lt;Student&gt;, ArrayList&lt;TranscriptOfRecords&gt;, ArrayList&lt;ErrorLog&gt;, etc.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Spring Data JPA repositories backed by MySQL tables. No application-managed hash maps or array lists for primary storage.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Table 3.2.3.1 describes a design that was not implemented this way. Persistence is delegated to JPA/MySQL.</w:t>
            </w:r>
          </w:p>
        </w:tc>
      </w:tr>
    </w:tbl>
    <w:p/>
    <w:p>
      <w:pPr>
        <w:pStyle w:val="Heading1"/>
      </w:pPr>
      <w:r>
        <w:rPr>
          <w:color w:val="1F3A5F"/>
        </w:rPr>
        <w:t>3. Architecture and Internal Design</w:t>
      </w:r>
    </w:p>
    <w:p>
      <w:r>
        <w:rPr>
          <w:b w:val="0"/>
          <w:i w:val="0"/>
          <w:sz w:val="22"/>
        </w:rPr>
        <w:t>The architectural intent - MVC with separation of concerns - is honoured. The differences are in the concrete layering and the in-memory design.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296"/>
          </w:tcPr>
          <w:p>
            <w:r>
              <w:rPr>
                <w:b/>
                <w:sz w:val="17"/>
              </w:rPr>
              <w:t>Aspect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Chapter 3 Location (section &amp; page)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Chapter 3 (ITR Paper) States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Current System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Difference / Note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Architecture pattern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3.2.2 Internal Design (PDF p.38 / printed p.31)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Model-View-Controller (MVC), three interconnected components.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Strict layered MVC: Controller -&gt; Service -&gt; Repository -&gt; Model (JPA Entity), with DTOs for request/response shapes.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Consistent. The implemented system adds an explicit Service layer and DTO layer that Chapter 3 does not mention.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TOR / Permanent Record generation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3.2.3 Table 3.2.3.1 (TranscriptOfRecords, PermanentRecord rows, PDF p.39 / printed p.32); Section 3.2.5 Class Diagram Figure 3.2.5.1 (EncodableDocument, PDF p.44 / printed p.37); Sequence diagrams Figure 3.2.6.3 (PDF p.48 / printed p.41) and Figure 3.2.6.7 (PDF p.52 / printed p.45)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TranscriptOfRecords and PermanentRecord object classes; EncodableDocument subclass; encodeData(studentData).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Not implemented as document-generation classes. There is a Document entity (BLOB storage), but TOR / Permanent Record generation is on the roadmap.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Chapter 3 over-states this capability. Note it as planned/future work.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In-memory data structures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3.2.3 Data Structures of the Program, Table 3.2.3.1 (PDF p.39-41 / printed p.32-34)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Table 3.2.3.1 lists hash maps and array lists (and an ErrorLog list) as program data structures.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Not present. Lookups are SQL queries via repositories; error logging is via SLF4J and the system_logs table.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Table 3.2.3.1 should be revised or reframed as conceptual, not literal.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Error logging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3.2.3 Table 3.2.3.1, ArrayList&lt;ErrorLog&gt; row (PDF p.40 / printed p.33)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ArrayList&lt;ErrorLog&gt; for chronological error logs.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SLF4J logging to server logs; GlobalExceptionHandler centralises error responses. No ErrorLog table or list.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Update Chapter 3 to describe SLF4J + GlobalExceptionHandler.</w:t>
            </w:r>
          </w:p>
        </w:tc>
      </w:tr>
    </w:tbl>
    <w:p/>
    <w:p>
      <w:pPr>
        <w:pStyle w:val="Heading1"/>
      </w:pPr>
      <w:r>
        <w:rPr>
          <w:color w:val="1F3A5F"/>
        </w:rPr>
        <w:t>4. Database - Schema, ERD, and Data Dictionary</w:t>
      </w:r>
    </w:p>
    <w:p>
      <w:r>
        <w:rPr>
          <w:b w:val="0"/>
          <w:i w:val="0"/>
          <w:sz w:val="22"/>
        </w:rPr>
        <w:t>The database has evolved beyond the ITR Paper's ERD (Section 3.2.7, Figure 3.2.7.1) and data dictionary (Section 3.2.8, Tables 3.2.8.1 - 3.2.8.15). Chapter 3 documents 15 tables; the current system has 19.</w:t>
      </w:r>
    </w:p>
    <w:p>
      <w:pPr>
        <w:pStyle w:val="Heading2"/>
      </w:pPr>
      <w:r>
        <w:rPr>
          <w:color w:val="1F3A5F"/>
        </w:rPr>
        <w:t>4.1 Table-Level Differences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296"/>
          </w:tcPr>
          <w:p>
            <w:r>
              <w:rPr>
                <w:b/>
                <w:sz w:val="17"/>
              </w:rPr>
              <w:t>Aspect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Chapter 3 Location (section &amp; page)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Chapter 3 (ITR Paper) States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Current System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Difference / Note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Activity log table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3.2.7 ERD Figure 3.2.7.1 (PDF p.54 / printed p.47); Section 3.2.8 data dictionary Table 3.2.8.14 "log" (PDF p.62 / printed p.55)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Table named "log" with fields: log_id, event, user_id, log_time, log_date.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Table named "system_logs" with fields: log_id, user_id, username, role, action, ip_address, timestamp.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Renamed and restructured. system_logs adds username, role, and ip_address, and uses a single timestamp instead of separate date/time.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Previous schooling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3.2.7 ERD Figure 3.2.7.1 (PDF p.54 / printed p.47); Section 3.2.8 data dictionary Table 3.2.8.15 "previous_school" (PDF p.62-63 / printed p.55-56)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Table named "previous_school" (school_id, student_id, educational_level, school, address, start_level_year, end_level_year, end_date).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Table named "student_education" (education_id, student_id, level, school_name, school_address, grade_year, semester, ended_year).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Renamed and restructured. Different column names and set.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Qualification assessment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3.2.7 ERD Figure 3.2.7.1 (PDF p.54 / printed p.47); Section 3.2.8 data dictionary Table 3.2.8.10 "qualification_assessment" (PDF p.60 / printed p.53)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Table "qualification_assessment" (assessment_id, qualification_code, student_id, user_id, assessment, result, dates).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No such table. Replaced by per-student TESDA tracking in student_tesda_qualifications.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Drop qualification_assessment from Chapter 3; document student_tesda_qualifications instead.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Classes table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3.2.7 ERD Figure 3.2.7.1 (PDF p.54 / printed p.47); Section 3.2.8 data dictionary Table 3.2.8.12 "classes" (PDF p.61 / printed p.54)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Table "classes" with class_code (PK), section_code, subject_code, user_id.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Table "classes" with class_id (PK), section_code, subject_code, trainer_id, semester, created_at.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Adds semester and created_at; PK renamed class_code -&gt; class_id; trainer FK renamed user_id -&gt; trainer_id and is nullable.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Class enrollment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3.2.7 ERD Figure 3.2.7.1 (PDF p.54 / printed p.47) and Section 3.2.8 data dictionary (no such table)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Not present. Chapter 3 implies students attend a class via their section.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New table "class_enrollments" (enrollment_id, class_id, student_id, enrolled_at) links individual students to classes.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New table - add to ERD and data dictionary.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OJT records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3.2.7 ERD Figure 3.2.7.1 / Section 3.2.8 data dictionary (no such table)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Not present.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New table "student_ojt" (ojt_id, student_id, company_name, company_address, hours_rendered).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New table - add to ERD and data dictionary.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TESDA qualifications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3.2.7 ERD Figure 3.2.7.1 / Section 3.2.8 data dictionary (only Table 3.2.8.10 qualification_assessment partially covers this)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Not present as a per-student multi-slot table.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New table "student_tesda_qualifications" (qual_id, student_id, slot, title, center_address, assessment_date, result) - up to 3 slots per student.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New table - add to ERD and data dictionary.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School years at Anihan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3.2.7 ERD Figure 3.2.7.1 / Section 3.2.8 data dictionary (no such table)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Not present.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New table "student_school_years" (school_year_id, student_id, row_index, sy_start, sem_start, sy_end, sem_end, remarks).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New table. (Note: removed from the student-facing wizard but the table and registrar-side editing remain.)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Student file uploads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3.2.7 ERD Figure 3.2.7.1 (PDF p.54 / printed p.47); Section 3.2.8 data dictionary Table 3.2.8.4 "documents" (PDF p.58 / printed p.51)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Documents stored only as BLOBs in the "documents" table.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New table "student_uploads" (upload_id, student_id, kind, file_path, original_name, mime_type, size_bytes, uploaded_at) stores file metadata; files are kept on disk, not as BLOBs.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New table - the system uses on-disk storage for ID photo / baptismal cert, in addition to the BLOB documents table.</w:t>
            </w:r>
          </w:p>
        </w:tc>
      </w:tr>
    </w:tbl>
    <w:p/>
    <w:p>
      <w:pPr>
        <w:pStyle w:val="Heading2"/>
      </w:pPr>
      <w:r>
        <w:rPr>
          <w:color w:val="1F3A5F"/>
        </w:rPr>
        <w:t>4.2 Column-Level Differences (selected tables)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296"/>
          </w:tcPr>
          <w:p>
            <w:r>
              <w:rPr>
                <w:b/>
                <w:sz w:val="17"/>
              </w:rPr>
              <w:t>Aspect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Chapter 3 Location (section &amp; page)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Chapter 3 (ITR Paper) States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Current System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Difference / Note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student_records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3.2.8 data dictionary Table 3.2.8.1 (PDF p.55-57 / printed p.48-50)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Lists user_id as a FK to users; many fields NOT NULL (e.g. middle_name, birthdate, age, sex, email, religion).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No user_id column (students are not user accounts). record_id is the auto-increment PK; student_id is a unique business key. Most personal fields are NULLABLE. Adds civil_status, temporary_address, enrollment_date, student_status.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Significant. The user_id FK does not exist; nullability is the opposite of the data dictionary for many fields.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users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3.2.8 data dictionary Table 3.2.8.13 "users" (PDF p.61 / printed p.54)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Fields: user_id, username, password, email, role.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Adds lastname, firstname, middlename, birthdate, age, enabled, password_changed_at.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The system stores full name, birthdate, an enabled flag (soft delete), and password-change tracking - none in Chapter 3.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grades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3.2.8 data dictionary Table 3.2.8.5 "grades" (PDF p.58-59 / printed p.51-52)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Fields: grade_id, student_id, subject_code, final_grade, re_exam_grade, hours, remarks.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Adds class_id, midterm_grade, finals_grade, locked, locked_at; final_grade and remarks are now nullable; "hours" is named hours_studied.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Grades are now class-scoped with a midterm/finals split and a lock mechanism - a substantial expansion.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batches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3.2.8 data dictionary Table 3.2.8.7 "batches" (PDF p.59 / printed p.52)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batch_year typed as DATE, format (YYYY).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batch_year typed as YEAR.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Minor type difference; correct in Chapter 3.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sections / classes PK type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3.2.8 data dictionary Table 3.2.8.6 "sections" (PDF p.59 / printed p.52) and Table 3.2.8.12 "classes" (PDF p.61 / printed p.54)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section_code and class_code described as INT.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section_code is VARCHAR(20); class_id is INT.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section_code type mismatch - correct the data dictionary.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parents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3.2.8 data dictionary Table 3.2.8.2 "parents" (PDF p.57 / printed p.50)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Most fields NOT NULL.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Most fields NULLABLE; uses relation, family_name, etc.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Nullability relaxed in the live schema vs. the data dictionary.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profile_picture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3.2.8 data dictionary Table 3.2.8.1, profile_picture row (PDF p.56 / printed p.49)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BLOB, NOT NULL, default "Default Image".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MEDIUMBLOB, NULLABLE.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Nullability differs; no DB-level default image.</w:t>
            </w:r>
          </w:p>
        </w:tc>
      </w:tr>
    </w:tbl>
    <w:p/>
    <w:p>
      <w:pPr>
        <w:pStyle w:val="Heading1"/>
      </w:pPr>
      <w:r>
        <w:rPr>
          <w:color w:val="1F3A5F"/>
        </w:rPr>
        <w:t>5. Use Cases and User Roles</w:t>
      </w:r>
    </w:p>
    <w:p>
      <w:r>
        <w:rPr>
          <w:b w:val="0"/>
          <w:i w:val="0"/>
          <w:sz w:val="22"/>
        </w:rPr>
        <w:t>The four roles (Admin, Registrar, Trainer, Student) all exist. The main differences are in account creation and the Student role.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296"/>
          </w:tcPr>
          <w:p>
            <w:r>
              <w:rPr>
                <w:b/>
                <w:sz w:val="17"/>
              </w:rPr>
              <w:t>Aspect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Chapter 3 Location (section &amp; page)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Chapter 3 (ITR Paper) States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Current System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Difference / Note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Trainer account creation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3.2.9 Functional Requirements, Trainer items 1, 1.1-1.2 (PDF p.65-66 / printed p.58-59); Section 3.3.1.6 Deployment (PDF p.71-72 / printed p.64-65)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Trainers register their own account and await Registrar/Admin approval ("await administrative approval").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No trainer self-registration. The Admin creates all user accounts directly. There is no "pending approval" account state.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Chapter 3 should be corrected - account creation is admin-only.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Student accounts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3.2.9 Functional Requirements, Student items 1.1, 2.1 (PDF p.64-65 / printed p.57-58); Section 3.2.5 Class Diagram Figure 3.2.5.1 (AnihanUser, PDF p.44 / printed p.37); Section 3.2.6 Figure 3.2.6.2 (PDF p.47 / printed p.40)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Students "register a new account", "log in using their verified Student ID", and the AnihanUser interface gives them login/logout.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Students have no user accounts. The student portal (student-portal.html / student-details.html) is public (permitAll) - no login.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Major design change. The Student use case (Figure 3.2.4.4, PDF p.43) is only partly implemented: students input details via a public portal but cannot log in to view grades/records.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Admin use case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3.2.4 Use Case Diagrams, Figure 3.2.4.1 Admin Use Case (PDF p.41-42 / printed p.34-35); Section 3.2.9 Functional Requirements, Admin items 1.1-1.4 (PDF p.63 / printed p.56)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View logs, create/delete users, view user list, assign roles, view/delete students, view batches, view subjects.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Implemented: user management (create, edit, soft-delete, hard-delete, re-enable), system logs with date filtering + export. No student-records or subjects page in the active admin navbar.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Largely consistent; "view/delete students" and "view subjects/batches" are not in the current admin navigation (registrar owns those).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Registrar use case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3.2.4 Use Case Diagrams, Figure 3.2.4.2 Registrar Use Case (PDF p.42 / printed p.35); Section 3.2.9 Functional Requirements, Registrar items 1.1-1.7, 2 (PDF p.63-64 / printed p.56-57)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View student list/batches/sections, encode/download documents, create/delete subjects, assign trainers, create student records.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Implemented and expanded: full student record CRUD, subjects CRUD, classes CRUD, sections CRUD, class enrollment (single + bulk), trainer assignment at both subject and class level, status filtering.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The system exceeds Chapter 3 here - classes and sections management are more developed than documented.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Trainer use case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3.2.4 Use Case Diagrams, Figure 3.2.4.3 Trainer Use Case (PDF p.43 / printed p.36); Section 3.2.9 Functional Requirements, Trainer items 1.3-1.4, 2.1-2.5 (PDF p.65-66 / printed p.58-59)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View assigned subjects, view class list, update grades, update remarks.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Implemented: view assigned subjects and classes with student rosters, grade input window with midterm/finals, save, and lock/unlock grades.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Consistent, plus a grade lock/unlock capability beyond Chapter 3.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Trainer-to-class assignment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3.2.6 Sequence Diagram, Figure 3.2.6.8 (Register Assigning Trainer to a Class, PDF p.53 / printed p.46)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Registrar assigns a trainer to a class.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Implemented (PUT /api/registrar/classes/{id}/trainer). A subject can also carry a default trainer.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Consistent. Note the two trainer touchpoints (subject default + class).</w:t>
            </w:r>
          </w:p>
        </w:tc>
      </w:tr>
    </w:tbl>
    <w:p/>
    <w:p>
      <w:pPr>
        <w:pStyle w:val="Heading1"/>
      </w:pPr>
      <w:r>
        <w:rPr>
          <w:color w:val="1F3A5F"/>
        </w:rPr>
        <w:t>6. Authentication and Security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296"/>
          </w:tcPr>
          <w:p>
            <w:r>
              <w:rPr>
                <w:b/>
                <w:sz w:val="17"/>
              </w:rPr>
              <w:t>Aspect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Chapter 3 Location (section &amp; page)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Chapter 3 (ITR Paper) States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Current System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Difference / Note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Auth mechanism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3.2.6 Sequence Diagram, Figure 3.2.6.2 (User Log-In Authentication, PDF p.47 / printed p.40)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login() returns an "Auth Token".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Spring Security form/session authentication. Server-side HTTP session (JSESSIONID cookie), not a token. BCrypt password hashing.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The "Auth Token" wording is inaccurate - the system is session-based.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Session timeout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3.2.10 Non-Functional Requirements, Security &gt; Authenticity (PDF p.68 / printed p.61)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"the session will time out if a user is inactive for 15 minutes."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Session timeout is 30 minutes (server.servlet.session.timeout=30m).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Correct Chapter 3 to 30 minutes, or change the system to 15 - they disagree.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Audit-log trace target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3.2.10 Non-Functional Requirements, Security &gt; Accountability (PDF p.68 / printed p.61)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Admin can trace actions "within 7.2 seconds".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System logs are indexed by timestamp and date-filtered; no measured 7.2s figure exists.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The 7.2-second figure is arbitrary; reword as a general performance goal.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Roles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3.2.5 Class Diagram Figure 3.2.5.1 and the AnihanUser paragraph (PDF p.44-46 / printed p.37-39); Section 3.2.4 Use Case Diagrams (PDF p.41-43 / printed p.34-36)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Admin, Registrar, Trainer, Student.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ROLE_ADMIN, ROLE_REGISTRAR, ROLE_TRAINER. Student is NOT a security role (public portal).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Three security roles, not four. Student access is unauthenticated.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CSRF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3.2.10 Non-Functional Requirements, Security (PDF p.68 / printed p.61) - not discussed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Not discussed.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CSRF disabled for /api/** endpoints; cookies are HTTP-only, SameSite=Lax.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Implementation detail Chapter 3 could mention.</w:t>
            </w:r>
          </w:p>
        </w:tc>
      </w:tr>
    </w:tbl>
    <w:p/>
    <w:p>
      <w:pPr>
        <w:pStyle w:val="Heading1"/>
      </w:pPr>
      <w:r>
        <w:rPr>
          <w:color w:val="1F3A5F"/>
        </w:rPr>
        <w:t>7. Functional and Non-Functional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296"/>
          </w:tcPr>
          <w:p>
            <w:r>
              <w:rPr>
                <w:b/>
                <w:sz w:val="17"/>
              </w:rPr>
              <w:t>Aspect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Chapter 3 Location (section &amp; page)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Chapter 3 (ITR Paper) States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Current System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Difference / Note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Student status values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3.2.9 Functional Requirements, Registrar item 2.1 (PDF p.64 / printed p.57)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Registrar can change status between "Enrolling", "Active", and "Graduated".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Four statuses: Enrolling, Submitted, Active, Graduated. "Submitted" is a portal-only state added for the enrollment wizard.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Add "Submitted" to Chapter 3.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Document export formats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3.2.10 Non-Functional Requirements, Compatibility &gt; Interoperability (PDF p.67 / printed p.60)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Export reports in PDF, CSV, Docx.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System logs export to CSV, XLSX, and DOCX (Apache POI). No PDF export; no TOR/grade-sheet export yet.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XLSX is supported instead of/alongside; PDF export is not implemented.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Age field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3.2.8 data dictionary Table 3.2.8.1, "age" row (PDF p.55 / printed p.48)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Lists "age" as a stored NOT NULL field.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age is auto-calculated from birthdate (AgeCalculator) and never user-entered; it is nullable until birthdate is set.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Chapter 3 should note age is derived, not directly entered.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Fault tolerance / offline queue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3.2.10 Non-Functional Requirements, Reliability &gt; Fault Tolerance (PDF p.68 / printed p.61)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Users can queue a grade update if the network drops and it syncs on reconnect.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Not implemented. The system is a standard request/response web app with no offline queue.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Remove or mark as future work - this is not built.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Baptismal certificate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3.1.1 enrollment description / required documents (PDF p.28 / printed p.21); Section 3.2.6 Figure 3.2.6.1 enrollment sequence (Document Checklist, PDF p.46 / printed p.39)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Implied as a required document in the enrollment flow.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Baptismal certificate upload is optional in the student wizard.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Minor - reconcile with the current wizard.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Capacity / performance targets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3.2.10 Non-Functional Requirements, Performance (PDF p.66-67 / printed p.59-60)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50+ concurrent users; search &lt; 5s; upload &lt; 3s (&lt;5MB); list load &lt; 5s; &lt; 6GB RAM.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These are the stated NFR targets; the system is built to them and bulk-load tests assert sub-5s behaviour. Not independently re-measured here.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Consistent as targets.</w:t>
            </w:r>
          </w:p>
        </w:tc>
      </w:tr>
    </w:tbl>
    <w:p/>
    <w:p>
      <w:pPr>
        <w:pStyle w:val="Heading1"/>
      </w:pPr>
      <w:r>
        <w:rPr>
          <w:color w:val="1F3A5F"/>
        </w:rPr>
        <w:t>8. Methodology and Deployment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296"/>
          </w:tcPr>
          <w:p>
            <w:r>
              <w:rPr>
                <w:b/>
                <w:sz w:val="17"/>
              </w:rPr>
              <w:t>Aspect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Chapter 3 Location (section &amp; page)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Chapter 3 (ITR Paper) States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Current System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Difference / Note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Development methodology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3.3.1 Project Development Methodology and sub-sections 3.3.1.1 Planning, 3.3.1.2 Requirements Analysis (PDF p.69-70 / printed p.62-63)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Agile, iterative sprints.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Consistent - work is tracked in dated sprint-style sessions (memory-bank), with AGILE-xxx ticket references.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Consistent.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Deployment model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3.2.1 External Design (PDF p.37-38 / printed p.30-31); Section 3.3.1.6 Deployment (PDF p.71-72 / printed p.64-65)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On-premise, in-house server, LAN-only, no internet, Registrar workstation, desktop/laptop only, no mobile.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Consistent - Windows Server 2025, air-gapped LAN, on-premise MySQL in Docker.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Consistent. Chapter 3 external design matches techContext.md.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17"/>
              </w:rPr>
              <w:t>Testing</w:t>
            </w:r>
          </w:p>
        </w:tc>
        <w:tc>
          <w:tcPr>
            <w:tcW w:type="dxa" w:w="2232"/>
          </w:tcPr>
          <w:p>
            <w:r>
              <w:rPr>
                <w:b/>
                <w:sz w:val="17"/>
              </w:rPr>
              <w:t>Section 3.3.1.5 Testing (PDF p.71 / printed p.64); Section 3.3.2 Evaluation Procedure (PDF p.72-73 / printed p.65-66)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Functional testing of login(), updateGrade(), uploadDocument(); usability testing with task scenarios; ISO/IEC 25010 evaluation.</w:t>
            </w:r>
          </w:p>
        </w:tc>
        <w:tc>
          <w:tcPr>
            <w:tcW w:type="dxa" w:w="2232"/>
          </w:tcPr>
          <w:p>
            <w:r>
              <w:rPr>
                <w:sz w:val="17"/>
              </w:rPr>
              <w:t>Automated test suite (JUnit/Mockito/WebMvc, ~156+ tests) plus a UAT thread testing workbook. Consistent in spirit.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Consistent; Chapter 3 could mention the automated test suite.</w:t>
            </w:r>
          </w:p>
        </w:tc>
      </w:tr>
    </w:tbl>
    <w:p/>
    <w:p>
      <w:pPr>
        <w:pStyle w:val="Heading1"/>
      </w:pPr>
      <w:r>
        <w:rPr>
          <w:color w:val="1F3A5F"/>
        </w:rPr>
        <w:t>9. Summary of Recommended Chapter 3 Edits</w:t>
      </w:r>
    </w:p>
    <w:p>
      <w:r>
        <w:rPr>
          <w:b w:val="0"/>
          <w:i w:val="0"/>
          <w:sz w:val="22"/>
        </w:rPr>
        <w:t>The following changes would bring Chapter 3 of the ITR Paper in line with the delivered system. Each row cites the exact location (section and page) to edit. They are ordered by importance.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08"/>
          </w:tcPr>
          <w:p>
            <w:r>
              <w:rPr>
                <w:b/>
                <w:sz w:val="17"/>
              </w:rPr>
              <w:t>Priority</w:t>
            </w:r>
          </w:p>
        </w:tc>
        <w:tc>
          <w:tcPr>
            <w:tcW w:type="dxa" w:w="3384"/>
          </w:tcPr>
          <w:p>
            <w:r>
              <w:rPr>
                <w:b/>
                <w:sz w:val="17"/>
              </w:rPr>
              <w:t>Chapter 3 Location (section &amp; page)</w:t>
            </w:r>
          </w:p>
        </w:tc>
        <w:tc>
          <w:tcPr>
            <w:tcW w:type="dxa" w:w="4536"/>
          </w:tcPr>
          <w:p>
            <w:r>
              <w:rPr>
                <w:b/>
                <w:sz w:val="17"/>
              </w:rPr>
              <w:t>Recommended Edit to Chapter 3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Done?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sz w:val="17"/>
              </w:rPr>
              <w:t>High</w:t>
            </w:r>
          </w:p>
        </w:tc>
        <w:tc>
          <w:tcPr>
            <w:tcW w:type="dxa" w:w="3384"/>
          </w:tcPr>
          <w:p>
            <w:r>
              <w:rPr>
                <w:b/>
                <w:sz w:val="17"/>
              </w:rPr>
              <w:t>Section 3.3.1.4 Coding (PDF p.71 / printed p.64)</w:t>
            </w:r>
          </w:p>
        </w:tc>
        <w:tc>
          <w:tcPr>
            <w:tcW w:type="dxa" w:w="4536"/>
          </w:tcPr>
          <w:p>
            <w:r>
              <w:rPr>
                <w:sz w:val="17"/>
              </w:rPr>
              <w:t>Correct the IDE: the project is built in VS Code / Antigravity IDE with a Gradle (Kotlin DSL) build - not NetBeans. Add Gradle as the build tool.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008"/>
          </w:tcPr>
          <w:p>
            <w:r>
              <w:rPr>
                <w:b/>
                <w:sz w:val="17"/>
              </w:rPr>
              <w:t>High</w:t>
            </w:r>
          </w:p>
        </w:tc>
        <w:tc>
          <w:tcPr>
            <w:tcW w:type="dxa" w:w="3384"/>
          </w:tcPr>
          <w:p>
            <w:r>
              <w:rPr>
                <w:b/>
                <w:sz w:val="17"/>
              </w:rPr>
              <w:t>Section 3.2.7 ERD Figure 3.2.7.1 (PDF p.54); Section 3.2.8 Tables 3.2.8.10, 3.2.8.14, 3.2.8.15 (PDF p.60-63)</w:t>
            </w:r>
          </w:p>
        </w:tc>
        <w:tc>
          <w:tcPr>
            <w:tcW w:type="dxa" w:w="4536"/>
          </w:tcPr>
          <w:p>
            <w:r>
              <w:rPr>
                <w:sz w:val="17"/>
              </w:rPr>
              <w:t>Rename log -&gt; system_logs and previous_school -&gt; student_education; remove qualification_assessment; add class_enrollments, student_ojt, student_tesda_qualifications, student_school_years, student_uploads.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008"/>
          </w:tcPr>
          <w:p>
            <w:r>
              <w:rPr>
                <w:b/>
                <w:sz w:val="17"/>
              </w:rPr>
              <w:t>High</w:t>
            </w:r>
          </w:p>
        </w:tc>
        <w:tc>
          <w:tcPr>
            <w:tcW w:type="dxa" w:w="3384"/>
          </w:tcPr>
          <w:p>
            <w:r>
              <w:rPr>
                <w:b/>
                <w:sz w:val="17"/>
              </w:rPr>
              <w:t>Section 3.2.8 Table 3.2.8.1 student_records (PDF p.55-57 / printed p.48-50)</w:t>
            </w:r>
          </w:p>
        </w:tc>
        <w:tc>
          <w:tcPr>
            <w:tcW w:type="dxa" w:w="4536"/>
          </w:tcPr>
          <w:p>
            <w:r>
              <w:rPr>
                <w:sz w:val="17"/>
              </w:rPr>
              <w:t>Remove the user_id FK, mark most personal fields nullable, add civil_status / enrollment_date / student_status.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008"/>
          </w:tcPr>
          <w:p>
            <w:r>
              <w:rPr>
                <w:b/>
                <w:sz w:val="17"/>
              </w:rPr>
              <w:t>High</w:t>
            </w:r>
          </w:p>
        </w:tc>
        <w:tc>
          <w:tcPr>
            <w:tcW w:type="dxa" w:w="3384"/>
          </w:tcPr>
          <w:p>
            <w:r>
              <w:rPr>
                <w:b/>
                <w:sz w:val="17"/>
              </w:rPr>
              <w:t>Section 3.2.8 Table 3.2.8.5 grades (PDF p.58-59 / printed p.51-52)</w:t>
            </w:r>
          </w:p>
        </w:tc>
        <w:tc>
          <w:tcPr>
            <w:tcW w:type="dxa" w:w="4536"/>
          </w:tcPr>
          <w:p>
            <w:r>
              <w:rPr>
                <w:sz w:val="17"/>
              </w:rPr>
              <w:t>Update to the class-scoped midterm/finals/lock design (add class_id, midterm_grade, finals_grade, locked, locked_at).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008"/>
          </w:tcPr>
          <w:p>
            <w:r>
              <w:rPr>
                <w:b/>
                <w:sz w:val="17"/>
              </w:rPr>
              <w:t>High</w:t>
            </w:r>
          </w:p>
        </w:tc>
        <w:tc>
          <w:tcPr>
            <w:tcW w:type="dxa" w:w="3384"/>
          </w:tcPr>
          <w:p>
            <w:r>
              <w:rPr>
                <w:b/>
                <w:sz w:val="17"/>
              </w:rPr>
              <w:t>Section 3.2.4 Figure 3.2.4.4 Student Use Case (PDF p.43); Section 3.2.9 Functional Requirements, Student items (PDF p.64-65)</w:t>
            </w:r>
          </w:p>
        </w:tc>
        <w:tc>
          <w:tcPr>
            <w:tcW w:type="dxa" w:w="4536"/>
          </w:tcPr>
          <w:p>
            <w:r>
              <w:rPr>
                <w:sz w:val="17"/>
              </w:rPr>
              <w:t>Correct the Student role: students have no accounts and cannot log in; the enrollment portal is public.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008"/>
          </w:tcPr>
          <w:p>
            <w:r>
              <w:rPr>
                <w:b/>
                <w:sz w:val="17"/>
              </w:rPr>
              <w:t>High</w:t>
            </w:r>
          </w:p>
        </w:tc>
        <w:tc>
          <w:tcPr>
            <w:tcW w:type="dxa" w:w="3384"/>
          </w:tcPr>
          <w:p>
            <w:r>
              <w:rPr>
                <w:b/>
                <w:sz w:val="17"/>
              </w:rPr>
              <w:t>Section 3.2.9 Functional Requirements, Trainer items 1-1.2 (PDF p.65-66); Section 3.3.1.6 Deployment (PDF p.71-72)</w:t>
            </w:r>
          </w:p>
        </w:tc>
        <w:tc>
          <w:tcPr>
            <w:tcW w:type="dxa" w:w="4536"/>
          </w:tcPr>
          <w:p>
            <w:r>
              <w:rPr>
                <w:sz w:val="17"/>
              </w:rPr>
              <w:t>Correct trainer onboarding: there is no trainer self-registration or "pending approval" - the Admin creates all accounts.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008"/>
          </w:tcPr>
          <w:p>
            <w:r>
              <w:rPr>
                <w:b/>
                <w:sz w:val="17"/>
              </w:rPr>
              <w:t>Medium</w:t>
            </w:r>
          </w:p>
        </w:tc>
        <w:tc>
          <w:tcPr>
            <w:tcW w:type="dxa" w:w="3384"/>
          </w:tcPr>
          <w:p>
            <w:r>
              <w:rPr>
                <w:b/>
                <w:sz w:val="17"/>
              </w:rPr>
              <w:t>Section 3.2.10 NFR, Security &gt; Authenticity (PDF p.68 / printed p.61)</w:t>
            </w:r>
          </w:p>
        </w:tc>
        <w:tc>
          <w:tcPr>
            <w:tcW w:type="dxa" w:w="4536"/>
          </w:tcPr>
          <w:p>
            <w:r>
              <w:rPr>
                <w:sz w:val="17"/>
              </w:rPr>
              <w:t>Fix the session timeout: state 30 minutes (or change the system to 15) so the paper and code agree.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008"/>
          </w:tcPr>
          <w:p>
            <w:r>
              <w:rPr>
                <w:b/>
                <w:sz w:val="17"/>
              </w:rPr>
              <w:t>Medium</w:t>
            </w:r>
          </w:p>
        </w:tc>
        <w:tc>
          <w:tcPr>
            <w:tcW w:type="dxa" w:w="3384"/>
          </w:tcPr>
          <w:p>
            <w:r>
              <w:rPr>
                <w:b/>
                <w:sz w:val="17"/>
              </w:rPr>
              <w:t>Section 3.2.3 Table 3.2.3.1 Data Structures of the Program (PDF p.39-41 / printed p.32-34)</w:t>
            </w:r>
          </w:p>
        </w:tc>
        <w:tc>
          <w:tcPr>
            <w:tcW w:type="dxa" w:w="4536"/>
          </w:tcPr>
          <w:p>
            <w:r>
              <w:rPr>
                <w:sz w:val="17"/>
              </w:rPr>
              <w:t>Reframe Table 3.2.3.1 - persistence is handled by JPA + MySQL, not in-memory HashMaps / ArrayLists / ErrorLog.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008"/>
          </w:tcPr>
          <w:p>
            <w:r>
              <w:rPr>
                <w:b/>
                <w:sz w:val="17"/>
              </w:rPr>
              <w:t>Medium</w:t>
            </w:r>
          </w:p>
        </w:tc>
        <w:tc>
          <w:tcPr>
            <w:tcW w:type="dxa" w:w="3384"/>
          </w:tcPr>
          <w:p>
            <w:r>
              <w:rPr>
                <w:b/>
                <w:sz w:val="17"/>
              </w:rPr>
              <w:t>Section 3.2.6 Figure 3.2.6.2 User Log-In Authentication (PDF p.47 / printed p.40)</w:t>
            </w:r>
          </w:p>
        </w:tc>
        <w:tc>
          <w:tcPr>
            <w:tcW w:type="dxa" w:w="4536"/>
          </w:tcPr>
          <w:p>
            <w:r>
              <w:rPr>
                <w:sz w:val="17"/>
              </w:rPr>
              <w:t>Correct the auth description: session-based login (JSESSIONID + BCrypt), not an "Auth Token".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008"/>
          </w:tcPr>
          <w:p>
            <w:r>
              <w:rPr>
                <w:b/>
                <w:sz w:val="17"/>
              </w:rPr>
              <w:t>Medium</w:t>
            </w:r>
          </w:p>
        </w:tc>
        <w:tc>
          <w:tcPr>
            <w:tcW w:type="dxa" w:w="3384"/>
          </w:tcPr>
          <w:p>
            <w:r>
              <w:rPr>
                <w:b/>
                <w:sz w:val="17"/>
              </w:rPr>
              <w:t>Section 3.2.9 Registrar item 2.1 (PDF p.64); Section 3.2.10 Interoperability (PDF p.67)</w:t>
            </w:r>
          </w:p>
        </w:tc>
        <w:tc>
          <w:tcPr>
            <w:tcW w:type="dxa" w:w="4536"/>
          </w:tcPr>
          <w:p>
            <w:r>
              <w:rPr>
                <w:sz w:val="17"/>
              </w:rPr>
              <w:t>Add the "Submitted" student status; note XLSX export; note that PDF export and TOR/Permanent-Record generation are future work.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008"/>
          </w:tcPr>
          <w:p>
            <w:r>
              <w:rPr>
                <w:b/>
                <w:sz w:val="17"/>
              </w:rPr>
              <w:t>Low</w:t>
            </w:r>
          </w:p>
        </w:tc>
        <w:tc>
          <w:tcPr>
            <w:tcW w:type="dxa" w:w="3384"/>
          </w:tcPr>
          <w:p>
            <w:r>
              <w:rPr>
                <w:b/>
                <w:sz w:val="17"/>
              </w:rPr>
              <w:t>Section 3.2.10 NFR, Reliability &gt; Fault Tolerance (PDF p.68 / printed p.61)</w:t>
            </w:r>
          </w:p>
        </w:tc>
        <w:tc>
          <w:tcPr>
            <w:tcW w:type="dxa" w:w="4536"/>
          </w:tcPr>
          <w:p>
            <w:r>
              <w:rPr>
                <w:sz w:val="17"/>
              </w:rPr>
              <w:t>Mark the fault-tolerance offline-queue requirement as future work - it is not implemented.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008"/>
          </w:tcPr>
          <w:p>
            <w:r>
              <w:rPr>
                <w:b/>
                <w:sz w:val="17"/>
              </w:rPr>
              <w:t>Low</w:t>
            </w:r>
          </w:p>
        </w:tc>
        <w:tc>
          <w:tcPr>
            <w:tcW w:type="dxa" w:w="3384"/>
          </w:tcPr>
          <w:p>
            <w:r>
              <w:rPr>
                <w:b/>
                <w:sz w:val="17"/>
              </w:rPr>
              <w:t>Section 3.2.8 Table 3.2.8.7 batches (PDF p.59); Table 3.2.8.6 sections (PDF p.59); Section 3.2.10 Accountability (PDF p.68)</w:t>
            </w:r>
          </w:p>
        </w:tc>
        <w:tc>
          <w:tcPr>
            <w:tcW w:type="dxa" w:w="4536"/>
          </w:tcPr>
          <w:p>
            <w:r>
              <w:rPr>
                <w:sz w:val="17"/>
              </w:rPr>
              <w:t>Fix data-type details: batches.batch_year is YEAR; sections.section_code is VARCHAR; remove the arbitrary "7.2 seconds" log-trace figure.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1"/>
      </w:pPr>
      <w:r>
        <w:rPr>
          <w:color w:val="1F3A5F"/>
        </w:rPr>
        <w:t>10. Closing Note</w:t>
      </w:r>
    </w:p>
    <w:p>
      <w:r>
        <w:rPr>
          <w:b w:val="0"/>
          <w:i w:val="0"/>
          <w:sz w:val="22"/>
        </w:rPr>
        <w:t>Measured against the ITR Paper, the implemented Anihan SRMS is a faithful realisation of Chapter 3's core vision: a centralised, role-based, on-premise student records system built on an MVC architecture with audit logging. The ITR Paper's Chapter 3 is more accurate than the earlier draft - it now names the correct Java/Spring technology stack and MySQL. The remaining divergences are mostly the natural result of detailed design decisions made during development - letting JPA and MySQL own persistence, making the student portal public, choosing admin-only account creation, and expanding the schema to cover OJT, TESDA qualifications, school years, and class-scoped grading.</w:t>
      </w:r>
    </w:p>
    <w:p>
      <w:r>
        <w:rPr>
          <w:b w:val="0"/>
          <w:i/>
          <w:sz w:val="22"/>
        </w:rPr>
        <w:t>No code or system file was modified to produce this comparison. The recommendations in Section 9 are documentation edits only - applying them at the cited sections and pages keeps the capstone paper an accurate description of the delivered software.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