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828F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7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8F8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828F8">
        <w:rPr>
          <w:b/>
          <w:szCs w:val="24"/>
        </w:rPr>
        <w:t>):</w:t>
      </w:r>
      <w:r w:rsidRPr="00A828F8">
        <w:rPr>
          <w:szCs w:val="24"/>
        </w:rPr>
        <w:t xml:space="preserve"> </w:t>
      </w:r>
      <w:r w:rsidR="00A828F8" w:rsidRPr="00A828F8">
        <w:rPr>
          <w:szCs w:val="24"/>
        </w:rPr>
        <w:t>ООО «</w:t>
      </w:r>
      <w:proofErr w:type="gramStart"/>
      <w:r w:rsidR="00A828F8" w:rsidRPr="00A828F8">
        <w:rPr>
          <w:szCs w:val="24"/>
        </w:rPr>
        <w:t>ТЕХ-БЕРЕЗКА</w:t>
      </w:r>
      <w:proofErr w:type="gramEnd"/>
      <w:r w:rsidR="00A828F8" w:rsidRPr="00A828F8">
        <w:rPr>
          <w:szCs w:val="24"/>
        </w:rPr>
        <w:t>»</w:t>
      </w:r>
    </w:p>
    <w:p w:rsid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ИНН: 7717148042.</w:t>
      </w:r>
      <w:r>
        <w:rPr>
          <w:szCs w:val="24"/>
        </w:rPr>
        <w:t xml:space="preserve"> </w:t>
      </w:r>
      <w:r w:rsidRPr="00A828F8">
        <w:rPr>
          <w:szCs w:val="24"/>
        </w:rPr>
        <w:t xml:space="preserve">Адрес: 129085, г. Москва, ул. </w:t>
      </w:r>
      <w:proofErr w:type="spellStart"/>
      <w:r w:rsidRPr="00A828F8">
        <w:rPr>
          <w:szCs w:val="24"/>
        </w:rPr>
        <w:t>Годовикова</w:t>
      </w:r>
      <w:proofErr w:type="spellEnd"/>
      <w:r w:rsidRPr="00A828F8">
        <w:rPr>
          <w:szCs w:val="24"/>
        </w:rPr>
        <w:t>, д. 9, стр. 2.</w:t>
      </w:r>
    </w:p>
    <w:p w:rsidR="00A828F8" w:rsidRP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Телефон: (495) 607-79-11.</w:t>
      </w:r>
    </w:p>
    <w:p w:rsidR="00A828F8" w:rsidRPr="00A828F8" w:rsidRDefault="00F12103" w:rsidP="00A828F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A828F8" w:rsidRPr="00A828F8">
        <w:rPr>
          <w:snapToGrid/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828F8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208 500,00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A828F8">
        <w:rPr>
          <w:szCs w:val="24"/>
        </w:rPr>
        <w:t xml:space="preserve">сборкой, установкой, </w:t>
      </w:r>
      <w:r w:rsidR="0024557C" w:rsidRPr="0024557C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bookmarkStart w:id="0" w:name="_GoBack"/>
            <w:bookmarkEnd w:id="0"/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A13A9D"/>
    <w:rsid w:val="00A360CE"/>
    <w:rsid w:val="00A447C5"/>
    <w:rsid w:val="00A75108"/>
    <w:rsid w:val="00A828F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5074-0EC3-4FB0-8D2C-B7647212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2012-05-25T05:57:00Z</cp:lastPrinted>
  <dcterms:created xsi:type="dcterms:W3CDTF">2012-05-25T05:52:00Z</dcterms:created>
  <dcterms:modified xsi:type="dcterms:W3CDTF">2012-05-25T05:58:00Z</dcterms:modified>
</cp:coreProperties>
</file>