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1" w:after="0" w:line="273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EXECUTIVE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SUMMARY: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GALALITH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BIOPLASTICS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INC.</w:t>
      </w:r>
    </w:p>
    <w:p>
      <w:pPr>
        <w:spacing w:before="0" w:after="0" w:line="270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Division: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Aurum-X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Advanced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Materials</w:t>
      </w:r>
    </w:p>
    <w:p>
      <w:pPr>
        <w:spacing w:before="1" w:after="0" w:line="240"/>
        <w:ind w:right="5092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Principal: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Mark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Kruger,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Master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Machinist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Maker Business Number: 768596033</w:t>
      </w:r>
    </w:p>
    <w:p>
      <w:pPr>
        <w:numPr>
          <w:ilvl w:val="0"/>
          <w:numId w:val="4"/>
        </w:numPr>
        <w:tabs>
          <w:tab w:val="left" w:pos="560" w:leader="none"/>
        </w:tabs>
        <w:spacing w:before="265" w:after="0" w:line="273"/>
        <w:ind w:right="0" w:left="560" w:hanging="2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Mission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Statement</w:t>
      </w:r>
    </w:p>
    <w:p>
      <w:pPr>
        <w:spacing w:before="1" w:after="0" w:line="240"/>
        <w:ind w:right="340" w:left="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Galalith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Bioplastics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industrial-scale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molecular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synthesis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headquartered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Lloydminster.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mission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provide localized, sustainable, and high-purity precious metals (99.99% Au) for the North American semiconductor and electronics sectors using our proprietary X-Transport Protocol (XTP-1).</w:t>
      </w:r>
    </w:p>
    <w:p>
      <w:pPr>
        <w:numPr>
          <w:ilvl w:val="0"/>
          <w:numId w:val="6"/>
        </w:numPr>
        <w:tabs>
          <w:tab w:val="left" w:pos="560" w:leader="none"/>
        </w:tabs>
        <w:spacing w:before="264" w:after="0" w:line="273"/>
        <w:ind w:right="0" w:left="56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Technology</w:t>
      </w:r>
    </w:p>
    <w:p>
      <w:pPr>
        <w:spacing w:before="2" w:after="0" w:line="240"/>
        <w:ind w:right="294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solid-state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synthesis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process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bypasses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traditional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overhead.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leveraging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35+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 precision machining expertise and mechanical engineering principles, we have developed a "Micro-Foundry" model. This hardware is protected by current USPTO Provisional Patent 19/556,532.</w:t>
      </w:r>
    </w:p>
    <w:p>
      <w:pPr>
        <w:numPr>
          <w:ilvl w:val="0"/>
          <w:numId w:val="8"/>
        </w:numPr>
        <w:tabs>
          <w:tab w:val="left" w:pos="560" w:leader="none"/>
        </w:tabs>
        <w:spacing w:before="264" w:after="0" w:line="273"/>
        <w:ind w:right="0" w:left="56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Operational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Stability</w:t>
      </w:r>
    </w:p>
    <w:p>
      <w:pPr>
        <w:spacing w:before="2" w:after="0" w:line="240"/>
        <w:ind w:right="294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registered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Saskatchewan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Corporation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Corporation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Income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Tax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account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(768596033RC0001),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Galalith Bioplastics Inc. operates under a strict 36-month profitability roadmap. This ensures a consistent revenue stream to support high-tech manufacturing and facility overhead in Lloydminster.</w:t>
      </w:r>
    </w:p>
    <w:p>
      <w:pPr>
        <w:numPr>
          <w:ilvl w:val="0"/>
          <w:numId w:val="10"/>
        </w:numPr>
        <w:tabs>
          <w:tab w:val="left" w:pos="560" w:leader="none"/>
        </w:tabs>
        <w:spacing w:before="264" w:after="0" w:line="240"/>
        <w:ind w:right="0" w:left="56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Strategic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Advantage</w:t>
      </w:r>
    </w:p>
    <w:p>
      <w:pPr>
        <w:spacing w:before="264" w:after="0" w:line="240"/>
        <w:ind w:right="0" w:left="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Infrastructure: Located in the Lloydminster industrial corridor for strategic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logistics.</w:t>
      </w:r>
    </w:p>
    <w:p>
      <w:pPr>
        <w:spacing w:before="268" w:after="0" w:line="240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Expertise: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Master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Machinist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capable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high-precision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tolerances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resonant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magnetic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arrays.</w:t>
      </w:r>
    </w:p>
    <w:p>
      <w:pPr>
        <w:spacing w:before="269" w:after="0" w:line="240"/>
        <w:ind w:right="294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Validation: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Technology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simulations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IBM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Quantum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hardware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(ibm_fez)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published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conceptual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benchmarks.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6">
    <w:abstractNumId w:val="12"/>
  </w:num>
  <w:num w:numId="8">
    <w:abstractNumId w:val="6"/>
  </w: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