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amount of water the air can carry based on temperature: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np.exp(1.56065404) * np.exp(6.90219321e-02 * z) * np.exp(-2.38543241e-04 * z**2)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m:oMath>
        <m:r>
          <w:rPr>
            <w:sz w:val="36"/>
            <w:szCs w:val="36"/>
          </w:rPr>
          <m:t xml:space="preserve">m = 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1.56065404</m:t>
            </m:r>
          </m:sup>
        </m:sSup>
        <m:r>
          <w:rPr>
            <w:sz w:val="36"/>
            <w:szCs w:val="36"/>
          </w:rPr>
          <m:t xml:space="preserve">*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6.90219321*1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0</m:t>
                </m:r>
              </m:e>
              <m:sup>
                <m:r>
                  <w:rPr>
                    <w:sz w:val="36"/>
                    <w:szCs w:val="36"/>
                  </w:rPr>
                  <m:t xml:space="preserve">-2</m:t>
                </m:r>
              </m:sup>
            </m:sSup>
            <m:r>
              <w:rPr>
                <w:sz w:val="36"/>
                <w:szCs w:val="36"/>
              </w:rPr>
              <m:t xml:space="preserve">* T</m:t>
            </m:r>
          </m:sup>
        </m:sSup>
        <m:r>
          <w:rPr>
            <w:sz w:val="36"/>
            <w:szCs w:val="36"/>
          </w:rPr>
          <m:t xml:space="preserve">*</m:t>
        </m:r>
        <m:sSup>
          <m:sSupPr>
            <m:ctrlPr>
              <w:rPr>
                <w:sz w:val="36"/>
                <w:szCs w:val="36"/>
              </w:rPr>
            </m:ctrlPr>
          </m:sSupPr>
          <m:e>
            <m:r>
              <w:rPr>
                <w:sz w:val="36"/>
                <w:szCs w:val="36"/>
              </w:rPr>
              <m:t xml:space="preserve">e</m:t>
            </m:r>
          </m:e>
          <m:sup>
            <m:r>
              <w:rPr>
                <w:sz w:val="36"/>
                <w:szCs w:val="36"/>
              </w:rPr>
              <m:t xml:space="preserve">-2.38543241*1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0</m:t>
                </m:r>
              </m:e>
              <m:sup>
                <m:r>
                  <w:rPr>
                    <w:sz w:val="36"/>
                    <w:szCs w:val="36"/>
                  </w:rPr>
                  <m:t xml:space="preserve">-4</m:t>
                </m:r>
              </m:sup>
            </m:sSup>
            <m:r>
              <w:rPr>
                <w:sz w:val="36"/>
                <w:szCs w:val="36"/>
              </w:rPr>
              <m:t xml:space="preserve"> * 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T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Where m is </w:t>
      </w:r>
      <m:oMath>
        <m:r>
          <w:rPr/>
          <m:t xml:space="preserve">g/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this works at ranges -20 to 60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density of air based on temperature: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1.44685243e-05 * T**2 -4.72481940e-03 * T + 1.29255728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m:oMath>
        <m:r>
          <w:rPr>
            <w:sz w:val="32"/>
            <w:szCs w:val="32"/>
          </w:rPr>
          <m:t xml:space="preserve">kg/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m</m:t>
            </m:r>
          </m:e>
          <m:sup>
            <m:r>
              <w:rPr>
                <w:sz w:val="32"/>
                <w:szCs w:val="32"/>
              </w:rPr>
              <m:t xml:space="preserve">3</m:t>
            </m:r>
          </m:sup>
        </m:sSup>
        <m:r>
          <w:rPr>
            <w:sz w:val="32"/>
            <w:szCs w:val="32"/>
          </w:rPr>
          <m:t xml:space="preserve"> = 1.44685243*1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0</m:t>
            </m:r>
          </m:e>
          <m:sup>
            <m:r>
              <w:rPr>
                <w:sz w:val="32"/>
                <w:szCs w:val="32"/>
              </w:rPr>
              <m:t xml:space="preserve">-5</m:t>
            </m:r>
          </m:sup>
        </m:sSup>
        <m:r>
          <w:rPr>
            <w:sz w:val="32"/>
            <w:szCs w:val="32"/>
          </w:rPr>
          <m:t xml:space="preserve">*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T</m:t>
            </m:r>
          </m:e>
          <m:sup>
            <m:r>
              <w:rPr>
                <w:sz w:val="32"/>
                <w:szCs w:val="32"/>
              </w:rPr>
              <m:t xml:space="preserve">2</m:t>
            </m:r>
          </m:sup>
        </m:sSup>
        <m:r>
          <w:rPr>
            <w:sz w:val="32"/>
            <w:szCs w:val="32"/>
          </w:rPr>
          <m:t xml:space="preserve">-4.72481940*1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0</m:t>
            </m:r>
          </m:e>
          <m:sup>
            <m:r>
              <w:rPr>
                <w:sz w:val="32"/>
                <w:szCs w:val="32"/>
              </w:rPr>
              <m:t xml:space="preserve">-3</m:t>
            </m:r>
          </m:sup>
        </m:sSup>
        <m:r>
          <w:rPr>
            <w:sz w:val="32"/>
            <w:szCs w:val="32"/>
          </w:rPr>
          <m:t xml:space="preserve">*T + 1.29255728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https://en.wikipedia.org/wiki/Humidity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superscript"/>
        </w:rPr>
      </w:pPr>
      <w:r w:rsidDel="00000000" w:rsidR="00000000" w:rsidRPr="00000000">
        <w:rPr>
          <w:rtl w:val="0"/>
        </w:rPr>
        <w:t xml:space="preserve">There are several empirical formulas that can be used to estimate the equilibrium vapor pressure of water vapor as a function of temperature.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Antoine equation</w:t>
        </w:r>
      </w:hyperlink>
      <w:r w:rsidDel="00000000" w:rsidR="00000000" w:rsidRPr="00000000">
        <w:rPr>
          <w:rtl w:val="0"/>
        </w:rPr>
        <w:t xml:space="preserve"> is among the least complex of these, having only three parameters (A, B, and C). Other formulas, such as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Goff–Gratch equation</w:t>
        </w:r>
      </w:hyperlink>
      <w:r w:rsidDel="00000000" w:rsidR="00000000" w:rsidRPr="00000000">
        <w:rPr>
          <w:rtl w:val="0"/>
        </w:rPr>
        <w:t xml:space="preserve"> and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Magnus–Tetens approximation</w:t>
        </w:r>
      </w:hyperlink>
      <w:r w:rsidDel="00000000" w:rsidR="00000000" w:rsidRPr="00000000">
        <w:rPr>
          <w:rtl w:val="0"/>
        </w:rPr>
        <w:t xml:space="preserve">, are more complicated but yield better accuracy.</w:t>
      </w:r>
      <w:r w:rsidDel="00000000" w:rsidR="00000000" w:rsidRPr="00000000">
        <w:rPr>
          <w:vertAlign w:val="superscript"/>
          <w:rtl w:val="0"/>
        </w:rPr>
        <w:t xml:space="preserve">[</w:t>
      </w:r>
      <w:hyperlink r:id="rId1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citation needed</w:t>
        </w:r>
      </w:hyperlink>
      <w:r w:rsidDel="00000000" w:rsidR="00000000" w:rsidRPr="00000000">
        <w:rPr>
          <w:vertAlign w:val="superscript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Arden Buck equation</w:t>
        </w:r>
      </w:hyperlink>
      <w:r w:rsidDel="00000000" w:rsidR="00000000" w:rsidRPr="00000000">
        <w:rPr>
          <w:rtl w:val="0"/>
        </w:rPr>
        <w:t xml:space="preserve"> is commonly encountered in the literature regarding this topic:</w:t>
      </w:r>
      <w:hyperlink r:id="rId1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[19]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superscript"/>
        </w:rPr>
      </w:pPr>
      <w:r w:rsidDel="00000000" w:rsidR="00000000" w:rsidRPr="00000000">
        <w:rPr>
          <w:vertAlign w:val="superscript"/>
        </w:rPr>
        <w:drawing>
          <wp:inline distB="114300" distT="114300" distL="114300" distR="114300">
            <wp:extent cx="4295775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T is the dry-bulb temperature expressed in degrees Celsius (°C), P is the absolute pressure expressed in millibars, and </w:t>
      </w:r>
      <m:oMath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*</m:t>
                </m:r>
              </m:sup>
            </m:sSup>
          </m:e>
          <m:sub>
            <m:r>
              <w:rPr/>
              <m:t xml:space="preserve">w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the equilibrium vapor pressure expressed in millibars. Buck has reported that the maximal relative error is less than 0.20% between −20, and +50 °C (−4, and 122 °F) when this particular form of the generalized formula is used to estimate the equilibrium vapor pressure of water.</w:t>
        <w:br w:type="textWrapping"/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https://en.wikipedia.org/wiki/Vapour_pressure_of_water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Humid air is less dense than dry air because a molecule of water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18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) is less massive than either a molecule of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nitrogen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 ≈ 28) or a molecule of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oxygen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 ≈ 32). About 78% of the molecules in dry air are nitrogen (N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Another 21% of the molecules in dry air are oxygen (O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The final 1% of dry air is a mixture of other gases.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https://en.wikipedia.org/wiki/Electromagnetic_absorption_by_water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Standard (atmospheric optical) codes</w:t>
        </w:r>
      </w:hyperlink>
      <w:r w:rsidDel="00000000" w:rsidR="00000000" w:rsidRPr="00000000">
        <w:rPr>
          <w:rtl w:val="0"/>
        </w:rPr>
        <w:t xml:space="preserve"> are assigned to absorption bands as follows. 0.718 μm (visible): α, 0.810 μm: μ, 0.935 μm: ρστ, 1.13 μm: φ, 1.38 μm: ψ, 1.88 μm: Ω, 2.68 μm: X.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infrared spectrum of liquid water is dominated by the intense absorption due to the fundamental O-H stretching vibrations.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the near-infrared range liquid water has absorption bands around 1950 nm (5128 cm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), 1450 nm (6896 cm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), 1200 nm (8333 cm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 and 970 nm, (10300 cm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).</w:t>
      </w:r>
      <w:hyperlink r:id="rId2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[19]</w:t>
        </w:r>
      </w:hyperlink>
      <w:hyperlink r:id="rId2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[20]</w:t>
        </w:r>
      </w:hyperlink>
      <w:hyperlink r:id="rId2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[15]</w:t>
        </w:r>
      </w:hyperlink>
      <w:r w:rsidDel="00000000" w:rsidR="00000000" w:rsidRPr="00000000">
        <w:rPr>
          <w:rtl w:val="0"/>
        </w:rPr>
        <w:t xml:space="preserve"> The regions between these bands can be used in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near-infrared spectroscopy</w:t>
        </w:r>
      </w:hyperlink>
      <w:r w:rsidDel="00000000" w:rsidR="00000000" w:rsidRPr="00000000">
        <w:rPr>
          <w:rtl w:val="0"/>
        </w:rPr>
        <w:t xml:space="preserve"> to measure the spectra of aqueous solutions, with the advantage that glass is transparent in this region, so glass cuvettes can be used.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absorption intensity is weaker than for the fundamental vibrations, but this is not important as longer path-length cuvettes can be used. The absorption band at 698 nm (14300 cm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−1</w:t>
      </w:r>
      <w:r w:rsidDel="00000000" w:rsidR="00000000" w:rsidRPr="00000000">
        <w:rPr>
          <w:rtl w:val="0"/>
        </w:rPr>
        <w:t xml:space="preserve">) is a 3rd overtone (n=4).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https://en.wikipedia.org/wiki/Near-infrared_spectroscopy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Near-infrared spectroscopy is based on molecular overtone and combination vibrations. Such transitions are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forbidden</w:t>
        </w:r>
      </w:hyperlink>
      <w:r w:rsidDel="00000000" w:rsidR="00000000" w:rsidRPr="00000000">
        <w:rPr>
          <w:rtl w:val="0"/>
        </w:rPr>
        <w:t xml:space="preserve"> by the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selection rules</w:t>
        </w:r>
      </w:hyperlink>
      <w:r w:rsidDel="00000000" w:rsidR="00000000" w:rsidRPr="00000000">
        <w:rPr>
          <w:rtl w:val="0"/>
        </w:rPr>
        <w:t xml:space="preserve"> of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quantum mechanics</w:t>
        </w:r>
      </w:hyperlink>
      <w:r w:rsidDel="00000000" w:rsidR="00000000" w:rsidRPr="00000000">
        <w:rPr>
          <w:rtl w:val="0"/>
        </w:rPr>
        <w:t xml:space="preserve">. As a result, the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molar absorptivity</w:t>
        </w:r>
      </w:hyperlink>
      <w:r w:rsidDel="00000000" w:rsidR="00000000" w:rsidRPr="00000000">
        <w:rPr>
          <w:rtl w:val="0"/>
        </w:rPr>
        <w:t xml:space="preserve"> in the near-IR region is typically quite small.</w:t>
      </w:r>
      <w:r w:rsidDel="00000000" w:rsidR="00000000" w:rsidRPr="00000000">
        <w:rPr>
          <w:vertAlign w:val="superscript"/>
          <w:rtl w:val="0"/>
        </w:rPr>
        <w:t xml:space="preserve">[</w:t>
      </w:r>
      <w:hyperlink r:id="rId3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citation needed</w:t>
        </w:r>
      </w:hyperlink>
      <w:r w:rsidDel="00000000" w:rsidR="00000000" w:rsidRPr="00000000">
        <w:rPr>
          <w:vertAlign w:val="superscript"/>
          <w:rtl w:val="0"/>
        </w:rPr>
        <w:t xml:space="preserve">]</w:t>
      </w:r>
      <w:r w:rsidDel="00000000" w:rsidR="00000000" w:rsidRPr="00000000">
        <w:rPr>
          <w:rtl w:val="0"/>
        </w:rPr>
        <w:t xml:space="preserve"> One advantage is that NIR can typically penetrate much further into a sample than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mid infrared</w:t>
        </w:r>
      </w:hyperlink>
      <w:r w:rsidDel="00000000" w:rsidR="00000000" w:rsidRPr="00000000">
        <w:rPr>
          <w:rtl w:val="0"/>
        </w:rPr>
        <w:t xml:space="preserve"> radiation. Near-infrared spectroscopy is, therefore, not a particularly sensitive technique, but it can be very useful in probing bulk material with little or no sample preparation.</w:t>
      </w:r>
    </w:p>
    <w:p w:rsidR="00000000" w:rsidDel="00000000" w:rsidP="00000000" w:rsidRDefault="00000000" w:rsidRPr="00000000" w14:paraId="00000029">
      <w:pPr>
        <w:rPr>
          <w:vertAlign w:val="superscript"/>
        </w:rPr>
      </w:pPr>
      <w:r w:rsidDel="00000000" w:rsidR="00000000" w:rsidRPr="00000000">
        <w:rPr>
          <w:rtl w:val="0"/>
        </w:rPr>
        <w:t xml:space="preserve">The molecular overtone and combination bands seen in the near-IR are typically very broad, leading to complex spectra; it can be difficult to assign specific features to specific chemical components.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Multivariate</w:t>
        </w:r>
      </w:hyperlink>
      <w:r w:rsidDel="00000000" w:rsidR="00000000" w:rsidRPr="00000000">
        <w:rPr>
          <w:rtl w:val="0"/>
        </w:rPr>
        <w:t xml:space="preserve"> (multiple variables) calibration techniques (e.g.,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principal components analysis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partial least squares</w:t>
        </w:r>
      </w:hyperlink>
      <w:r w:rsidDel="00000000" w:rsidR="00000000" w:rsidRPr="00000000">
        <w:rPr>
          <w:rtl w:val="0"/>
        </w:rPr>
        <w:t xml:space="preserve">, or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artificial neural networks</w:t>
        </w:r>
      </w:hyperlink>
      <w:r w:rsidDel="00000000" w:rsidR="00000000" w:rsidRPr="00000000">
        <w:rPr>
          <w:rtl w:val="0"/>
        </w:rPr>
        <w:t xml:space="preserve">) are often employed to extract the desired chemical information. Careful development of a set of calibration samples and application of multivariate calibration techniques is essential for near-infrared analytical methods.</w:t>
      </w:r>
      <w:hyperlink r:id="rId39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Oxygen" TargetMode="External"/><Relationship Id="rId22" Type="http://schemas.openxmlformats.org/officeDocument/2006/relationships/hyperlink" Target="https://en.wikipedia.org/wiki/Atmospheric_radiative_transfer_codes" TargetMode="External"/><Relationship Id="rId21" Type="http://schemas.openxmlformats.org/officeDocument/2006/relationships/hyperlink" Target="https://en.wikipedia.org/wiki/Electromagnetic_absorption_by_water" TargetMode="External"/><Relationship Id="rId24" Type="http://schemas.openxmlformats.org/officeDocument/2006/relationships/hyperlink" Target="https://en.wikipedia.org/wiki/Electromagnetic_absorption_by_water#cite_note-Rossel1998-20" TargetMode="External"/><Relationship Id="rId23" Type="http://schemas.openxmlformats.org/officeDocument/2006/relationships/hyperlink" Target="https://en.wikipedia.org/wiki/Electromagnetic_absorption_by_water#cite_note-Carter1993-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lausius%E2%80%93Clapeyron_relation#Meteorology_and_climatology" TargetMode="External"/><Relationship Id="rId26" Type="http://schemas.openxmlformats.org/officeDocument/2006/relationships/hyperlink" Target="https://en.wikipedia.org/wiki/Near-infrared_spectroscopy" TargetMode="External"/><Relationship Id="rId25" Type="http://schemas.openxmlformats.org/officeDocument/2006/relationships/hyperlink" Target="https://en.wikipedia.org/wiki/Electromagnetic_absorption_by_water#cite_note-Jacquemoud2003-15" TargetMode="External"/><Relationship Id="rId28" Type="http://schemas.openxmlformats.org/officeDocument/2006/relationships/hyperlink" Target="https://en.wikipedia.org/wiki/Near-infrared_spectroscopy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Humidity" TargetMode="External"/><Relationship Id="rId29" Type="http://schemas.openxmlformats.org/officeDocument/2006/relationships/hyperlink" Target="https://en.wikipedia.org/wiki/Forbidden_transition" TargetMode="External"/><Relationship Id="rId7" Type="http://schemas.openxmlformats.org/officeDocument/2006/relationships/hyperlink" Target="https://en.wikipedia.org/wiki/Antoine_equation" TargetMode="External"/><Relationship Id="rId8" Type="http://schemas.openxmlformats.org/officeDocument/2006/relationships/hyperlink" Target="https://en.wikipedia.org/wiki/Goff%E2%80%93Gratch_equation" TargetMode="External"/><Relationship Id="rId31" Type="http://schemas.openxmlformats.org/officeDocument/2006/relationships/hyperlink" Target="https://en.wikipedia.org/wiki/Quantum_mechanics" TargetMode="External"/><Relationship Id="rId30" Type="http://schemas.openxmlformats.org/officeDocument/2006/relationships/hyperlink" Target="https://en.wikipedia.org/wiki/Selection_rule" TargetMode="External"/><Relationship Id="rId11" Type="http://schemas.openxmlformats.org/officeDocument/2006/relationships/hyperlink" Target="https://en.wikipedia.org/wiki/Arden_Buck_equation" TargetMode="External"/><Relationship Id="rId33" Type="http://schemas.openxmlformats.org/officeDocument/2006/relationships/hyperlink" Target="https://en.wikipedia.org/wiki/Wikipedia:Citation_needed" TargetMode="External"/><Relationship Id="rId10" Type="http://schemas.openxmlformats.org/officeDocument/2006/relationships/hyperlink" Target="https://en.wikipedia.org/wiki/Wikipedia:Citation_needed" TargetMode="External"/><Relationship Id="rId32" Type="http://schemas.openxmlformats.org/officeDocument/2006/relationships/hyperlink" Target="https://en.wikipedia.org/wiki/Molar_absorptivity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en.wikipedia.org/wiki/Multivariate_statistics" TargetMode="External"/><Relationship Id="rId12" Type="http://schemas.openxmlformats.org/officeDocument/2006/relationships/hyperlink" Target="https://en.wikipedia.org/wiki/Humidity#cite_note-FOOTNOTEBuck19811527%E2%80%931532-19" TargetMode="External"/><Relationship Id="rId34" Type="http://schemas.openxmlformats.org/officeDocument/2006/relationships/hyperlink" Target="https://en.wikipedia.org/wiki/Infrared_spectroscopy" TargetMode="External"/><Relationship Id="rId15" Type="http://schemas.openxmlformats.org/officeDocument/2006/relationships/image" Target="media/image4.png"/><Relationship Id="rId37" Type="http://schemas.openxmlformats.org/officeDocument/2006/relationships/hyperlink" Target="https://en.wikipedia.org/wiki/Partial_least_squares" TargetMode="External"/><Relationship Id="rId14" Type="http://schemas.openxmlformats.org/officeDocument/2006/relationships/hyperlink" Target="https://en.wikipedia.org/wiki/Vapour_pressure_of_water" TargetMode="External"/><Relationship Id="rId36" Type="http://schemas.openxmlformats.org/officeDocument/2006/relationships/hyperlink" Target="https://en.wikipedia.org/wiki/Principal_components_analysis" TargetMode="External"/><Relationship Id="rId17" Type="http://schemas.openxmlformats.org/officeDocument/2006/relationships/hyperlink" Target="https://en.wikipedia.org/wiki/Molecular_mass" TargetMode="External"/><Relationship Id="rId39" Type="http://schemas.openxmlformats.org/officeDocument/2006/relationships/hyperlink" Target="https://en.wikipedia.org/wiki/Near-infrared_spectroscopy#cite_note-Balabin_2007-1" TargetMode="External"/><Relationship Id="rId16" Type="http://schemas.openxmlformats.org/officeDocument/2006/relationships/image" Target="media/image2.png"/><Relationship Id="rId38" Type="http://schemas.openxmlformats.org/officeDocument/2006/relationships/hyperlink" Target="https://en.wikipedia.org/wiki/Artificial_neural_networks" TargetMode="External"/><Relationship Id="rId19" Type="http://schemas.openxmlformats.org/officeDocument/2006/relationships/hyperlink" Target="https://en.wikipedia.org/wiki/Nitrogen" TargetMode="External"/><Relationship Id="rId18" Type="http://schemas.openxmlformats.org/officeDocument/2006/relationships/hyperlink" Target="https://en.wikipedia.org/wiki/Atomic_mass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