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following topics must be attached:</w:t>
      </w:r>
    </w:p>
    <w:p w:rsidR="00000000" w:rsidDel="00000000" w:rsidP="00000000" w:rsidRDefault="00000000" w:rsidRPr="00000000" w14:paraId="00000002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1. Brief description of the research/project.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Engineering a high frequency hygrometer, by making use of an infrared laser. Via absorption of the water molecules in the air the intensity of the laser pulse will be reduced.</w:t>
      </w:r>
    </w:p>
    <w:p w:rsidR="00000000" w:rsidDel="00000000" w:rsidP="00000000" w:rsidRDefault="00000000" w:rsidRPr="00000000" w14:paraId="00000005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2. Floor plan to scale of the space.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color w:val="212121"/>
        </w:rPr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3. Scale plan of the table on which the laser is placed (including all beam paths).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212121"/>
        </w:rPr>
      </w:pPr>
      <w:r w:rsidDel="00000000" w:rsidR="00000000" w:rsidRPr="00000000">
        <w:rPr/>
        <w:drawing>
          <wp:inline distB="114300" distT="114300" distL="114300" distR="114300">
            <wp:extent cx="5848350" cy="3752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4. Operating instructions for the laser.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Laser is being powered by a 3 Volt arduino output, making use of a second resistor to control the current.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Keep it below typical eye-height. Make sure the beam path is secure.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5. Appointments for laser experiment.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Appointments in C008 of Building 22 Applied Physics.</w:t>
      </w:r>
    </w:p>
    <w:p w:rsidR="00000000" w:rsidDel="00000000" w:rsidP="00000000" w:rsidRDefault="00000000" w:rsidRPr="00000000" w14:paraId="00000014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6. Laser risk analysis (use Laser Safety Checklist).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Laser is class 3B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 can be turned off by depowering the arduino or decoupling the laser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goggles are not on site yet</w:t>
      </w:r>
    </w:p>
    <w:p w:rsidR="00000000" w:rsidDel="00000000" w:rsidP="00000000" w:rsidRDefault="00000000" w:rsidRPr="00000000" w14:paraId="0000001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7. Risk analysis workspace.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There is no way any passers by can be hit by direct laser light.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windows, but none of them are at laser height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 setup will be surrounded by wooden plates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 will be places below eye level</w:t>
      </w:r>
    </w:p>
    <w:p w:rsidR="00000000" w:rsidDel="00000000" w:rsidP="00000000" w:rsidRDefault="00000000" w:rsidRPr="00000000" w14:paraId="0000001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8. List of laser workers.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212121"/>
        </w:rPr>
      </w:pPr>
      <w:r w:rsidDel="00000000" w:rsidR="00000000" w:rsidRPr="00000000">
        <w:rPr>
          <w:rtl w:val="0"/>
        </w:rPr>
        <w:t xml:space="preserve">Mark Melotto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