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5654B4">
      <w:pPr>
        <w:spacing w:after="119" w:line="259" w:lineRule="auto"/>
        <w:ind w:left="12"/>
        <w:jc w:val="center"/>
      </w:pPr>
      <w:r>
        <w:rPr>
          <w:b/>
        </w:rPr>
        <w:t>UNIVERSITY EXAMINATIONS: 2023/2024</w:t>
      </w:r>
    </w:p>
    <w:p w14:paraId="2CFC42DA">
      <w:pPr>
        <w:pStyle w:val="2"/>
        <w:spacing w:after="113"/>
        <w:ind w:left="3236"/>
      </w:pPr>
      <w:r>
        <w:t>CAT 1-DUE DATE:</w:t>
      </w:r>
      <w:r>
        <w:rPr>
          <w:rFonts w:hint="default"/>
          <w:lang w:val="en-US"/>
        </w:rPr>
        <w:t>30</w:t>
      </w:r>
      <w:bookmarkStart w:id="0" w:name="_GoBack"/>
      <w:bookmarkEnd w:id="0"/>
      <w:r>
        <w:t xml:space="preserve">TH </w:t>
      </w:r>
      <w:r>
        <w:rPr>
          <w:rFonts w:hint="default"/>
          <w:lang w:val="en-US"/>
        </w:rPr>
        <w:t xml:space="preserve">OCT </w:t>
      </w:r>
      <w:r>
        <w:t>2024</w:t>
      </w:r>
    </w:p>
    <w:p w14:paraId="649D6748">
      <w:pPr>
        <w:spacing w:after="0" w:line="259" w:lineRule="auto"/>
        <w:ind w:left="12" w:right="262"/>
        <w:jc w:val="center"/>
      </w:pPr>
      <w:r>
        <w:rPr>
          <w:b/>
        </w:rPr>
        <w:t>CRIMINAL LAW</w:t>
      </w:r>
    </w:p>
    <w:p w14:paraId="059016F1">
      <w:pPr>
        <w:spacing w:after="13" w:line="259" w:lineRule="auto"/>
        <w:ind w:left="1440" w:right="-2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4359910" cy="17780"/>
                <wp:effectExtent l="0" t="0" r="0" b="0"/>
                <wp:docPr id="3281" name="Group 3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910" cy="18288"/>
                          <a:chOff x="0" y="0"/>
                          <a:chExt cx="4359910" cy="18288"/>
                        </a:xfrm>
                      </wpg:grpSpPr>
                      <wps:wsp>
                        <wps:cNvPr id="4026" name="Shape 4026"/>
                        <wps:cNvSpPr/>
                        <wps:spPr>
                          <a:xfrm>
                            <a:off x="0" y="0"/>
                            <a:ext cx="435991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9910" h="18288">
                                <a:moveTo>
                                  <a:pt x="0" y="0"/>
                                </a:moveTo>
                                <a:lnTo>
                                  <a:pt x="4359910" y="0"/>
                                </a:lnTo>
                                <a:lnTo>
                                  <a:pt x="435991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4pt;width:343.3pt;" coordsize="4359910,18288" o:gfxdata="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PcyVOtQAAAADAQAADwAAAAAAAAABACAAAAAiAAAAZHJz&#10;L2Rvd25yZXYueG1sUEsBAhQAFAAAAAgAh07iQGSWYWRBAgAA1QUAAA4AAAAAAAAAAQAgAAAAIwEA&#10;AGRycy9lMm9Eb2MueG1sUEsFBgAAAAAGAAYAWQEAANYFAAAAAA==&#10;">
                <o:lock v:ext="edit" aspectratio="f"/>
                <v:shape id="Shape 4026" o:spid="_x0000_s1026" o:spt="100" style="position:absolute;left:0;top:0;height:18288;width:4359910;" fillcolor="#000000" filled="t" stroked="f" coordsize="4359910,18288" o:gfxdata="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PTpKu8AAAA&#10;3QAAAA8AAAAAAAAAAQAgAAAAIgAAAGRycy9kb3ducmV2LnhtbFBLAQIUABQAAAAIAIdO4kAzLwWe&#10;OwAAADkAAAAQAAAAAAAAAAEAIAAAAAsBAABkcnMvc2hhcGV4bWwueG1sUEsFBgAAAAAGAAYAWwEA&#10;ALUDAAAAAA==&#10;" path="m0,0l4359910,0,4359910,18288,0,18288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03CCD09B">
      <w:pPr>
        <w:pStyle w:val="2"/>
        <w:spacing w:after="171"/>
        <w:ind w:left="-5"/>
      </w:pPr>
      <w:r>
        <w:t>INSTRUCTIONS: ANSWER ALL QUESTIONS</w:t>
      </w:r>
    </w:p>
    <w:p w14:paraId="636B6E7F">
      <w:pPr>
        <w:spacing w:after="349" w:line="259" w:lineRule="auto"/>
        <w:ind w:left="0" w:right="-2" w:firstLine="0"/>
      </w:pPr>
      <w:r>
        <w:rPr>
          <w:rFonts w:ascii="Calibri" w:hAnsi="Calibri" w:eastAsia="Calibri" w:cs="Calibri"/>
          <w:sz w:val="22"/>
        </w:rPr>
        <mc:AlternateContent>
          <mc:Choice Requires="wpg">
            <w:drawing>
              <wp:inline distT="0" distB="0" distL="0" distR="0">
                <wp:extent cx="5274310" cy="24130"/>
                <wp:effectExtent l="0" t="0" r="0" b="0"/>
                <wp:docPr id="3282" name="Group 32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564" cy="24384"/>
                          <a:chOff x="0" y="0"/>
                          <a:chExt cx="5274564" cy="24384"/>
                        </a:xfrm>
                      </wpg:grpSpPr>
                      <wps:wsp>
                        <wps:cNvPr id="4028" name="Shape 4028"/>
                        <wps:cNvSpPr/>
                        <wps:spPr>
                          <a:xfrm>
                            <a:off x="0" y="0"/>
                            <a:ext cx="527456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564" h="24384">
                                <a:moveTo>
                                  <a:pt x="0" y="0"/>
                                </a:moveTo>
                                <a:lnTo>
                                  <a:pt x="5274564" y="0"/>
                                </a:lnTo>
                                <a:lnTo>
                                  <a:pt x="5274564" y="24384"/>
                                </a:lnTo>
                                <a:lnTo>
                                  <a:pt x="0" y="243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bevel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.9pt;width:415.3pt;" coordsize="5274564,24384" o:gfxdata="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SFBn09QAAAADAQAADwAAAAAAAAABACAAAAAiAAAAZHJz&#10;L2Rvd25yZXYueG1sUEsBAhQAFAAAAAgAh07iQN8GoylBAgAA1QUAAA4AAAAAAAAAAQAgAAAAIwEA&#10;AGRycy9lMm9Eb2MueG1sUEsFBgAAAAAGAAYAWQEAANYFAAAAAA==&#10;">
                <o:lock v:ext="edit" aspectratio="f"/>
                <v:shape id="Shape 4028" o:spid="_x0000_s1026" o:spt="100" style="position:absolute;left:0;top:0;height:24384;width:5274564;" fillcolor="#000000" filled="t" stroked="f" coordsize="5274564,24384" o:gfxdata="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g2m8ugAAAN0A&#10;AAAPAAAAAAAAAAEAIAAAACIAAABkcnMvZG93bnJldi54bWxQSwECFAAUAAAACACHTuJAMy8FnjsA&#10;AAA5AAAAEAAAAAAAAAABACAAAAAJAQAAZHJzL3NoYXBleG1sLnhtbFBLBQYAAAAABgAGAFsBAACz&#10;AwAAAAA=&#10;" path="m0,0l5274564,0,5274564,24384,0,24384,0,0e">
                  <v:fill on="t" focussize="0,0"/>
                  <v:stroke on="f" weight="0pt" joinstyle="bevel" endcap="square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14:paraId="2B7AF413">
      <w:pPr>
        <w:pStyle w:val="2"/>
        <w:spacing w:after="314"/>
        <w:ind w:left="-5"/>
      </w:pPr>
      <w:r>
        <w:t>QUESTION ONE</w:t>
      </w:r>
    </w:p>
    <w:p w14:paraId="26F252FF">
      <w:pPr>
        <w:numPr>
          <w:ilvl w:val="0"/>
          <w:numId w:val="1"/>
        </w:numPr>
        <w:spacing w:after="111"/>
        <w:ind w:hanging="425"/>
      </w:pPr>
      <w:r>
        <w:t>A court may convict a person for a different offence other than that charged for.</w:t>
      </w:r>
    </w:p>
    <w:p w14:paraId="3966CF2A">
      <w:pPr>
        <w:spacing w:after="311"/>
        <w:ind w:left="435"/>
        <w:rPr>
          <w:b/>
        </w:rPr>
      </w:pPr>
      <w:r>
        <w:t xml:space="preserve">Explain the circumstances when this can happen </w:t>
      </w:r>
      <w:r>
        <w:rPr>
          <w:b/>
        </w:rPr>
        <w:t>(3 Marks)</w:t>
      </w:r>
    </w:p>
    <w:p w14:paraId="27E4A6B1">
      <w:pPr>
        <w:numPr>
          <w:ilvl w:val="0"/>
          <w:numId w:val="1"/>
        </w:numPr>
        <w:spacing w:after="308"/>
      </w:pPr>
      <w:r>
        <w:t xml:space="preserve">Explain the key decision and rationale in Walter Mararo V R </w:t>
      </w:r>
      <w:r>
        <w:rPr>
          <w:b/>
        </w:rPr>
        <w:t>(5 Marks)</w:t>
      </w:r>
      <w:r>
        <w:t xml:space="preserve"> </w:t>
      </w:r>
    </w:p>
    <w:p w14:paraId="2E5FB32D">
      <w:pPr>
        <w:numPr>
          <w:ilvl w:val="0"/>
          <w:numId w:val="1"/>
        </w:numPr>
        <w:spacing w:line="364" w:lineRule="auto"/>
        <w:ind w:hanging="425"/>
      </w:pPr>
      <w:r>
        <w:t xml:space="preserve">List and explain three circumstances that a court would allow that it goes in camera. </w:t>
      </w:r>
      <w:r>
        <w:rPr>
          <w:b/>
        </w:rPr>
        <w:t>(3 Marks)</w:t>
      </w:r>
    </w:p>
    <w:p w14:paraId="2869815E">
      <w:pPr>
        <w:numPr>
          <w:ilvl w:val="0"/>
          <w:numId w:val="1"/>
        </w:numPr>
        <w:spacing w:after="109"/>
        <w:ind w:hanging="425"/>
      </w:pPr>
      <w:r>
        <w:t xml:space="preserve">Explain the implications of the decisions in </w:t>
      </w:r>
      <w:r>
        <w:fldChar w:fldCharType="begin"/>
      </w:r>
      <w:r>
        <w:instrText xml:space="preserve"> HYPERLINK "http://kenyalaw.org/caselaw/cases/view/111625" \h </w:instrText>
      </w:r>
      <w:r>
        <w:fldChar w:fldCharType="separate"/>
      </w:r>
      <w:r>
        <w:rPr>
          <w:color w:val="0000FF"/>
          <w:u w:val="single" w:color="0000FF"/>
        </w:rPr>
        <w:t>Patrick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u w:val="single" w:color="0000FF"/>
        </w:rPr>
        <w:t xml:space="preserve"> </w:t>
      </w:r>
      <w:r>
        <w:fldChar w:fldCharType="begin"/>
      </w:r>
      <w:r>
        <w:instrText xml:space="preserve"> HYPERLINK "http://kenyalaw.org/caselaw/cases/view/111625" \h </w:instrText>
      </w:r>
      <w:r>
        <w:fldChar w:fldCharType="separate"/>
      </w:r>
      <w:r>
        <w:rPr>
          <w:color w:val="0000FF"/>
          <w:u w:val="single" w:color="0000FF"/>
        </w:rPr>
        <w:t>Kathurima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u w:val="single" w:color="0000FF"/>
        </w:rPr>
        <w:t xml:space="preserve"> </w:t>
      </w:r>
      <w:r>
        <w:fldChar w:fldCharType="begin"/>
      </w:r>
      <w:r>
        <w:instrText xml:space="preserve"> HYPERLINK "http://kenyalaw.org/caselaw/cases/view/111625" \h </w:instrText>
      </w:r>
      <w:r>
        <w:fldChar w:fldCharType="separate"/>
      </w:r>
      <w:r>
        <w:rPr>
          <w:color w:val="0000FF"/>
          <w:u w:val="single" w:color="0000FF"/>
        </w:rPr>
        <w:t>v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u w:val="single" w:color="0000FF"/>
        </w:rPr>
        <w:t xml:space="preserve"> </w:t>
      </w:r>
      <w:r>
        <w:fldChar w:fldCharType="begin"/>
      </w:r>
      <w:r>
        <w:instrText xml:space="preserve"> HYPERLINK "http://kenyalaw.org/caselaw/cases/view/111625" \h </w:instrText>
      </w:r>
      <w:r>
        <w:fldChar w:fldCharType="separate"/>
      </w:r>
      <w:r>
        <w:rPr>
          <w:color w:val="0000FF"/>
          <w:u w:val="single" w:color="0000FF"/>
        </w:rPr>
        <w:t>R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u w:val="single" w:color="0000FF"/>
        </w:rPr>
        <w:t xml:space="preserve"> </w:t>
      </w:r>
      <w:r>
        <w:t>Court of</w:t>
      </w:r>
    </w:p>
    <w:p w14:paraId="7294B994">
      <w:pPr>
        <w:spacing w:after="119" w:line="259" w:lineRule="auto"/>
        <w:ind w:left="64" w:firstLine="0"/>
        <w:jc w:val="center"/>
      </w:pPr>
      <w:r>
        <w:t xml:space="preserve">Appeal at Nyeri Criminal Appeal No. 131 of 2014; </w:t>
      </w:r>
      <w:r>
        <w:fldChar w:fldCharType="begin"/>
      </w:r>
      <w:r>
        <w:instrText xml:space="preserve"> HYPERLINK "http://kenyalaw.org/caselaw/cases/view/118097/" \h </w:instrText>
      </w:r>
      <w:r>
        <w:fldChar w:fldCharType="separate"/>
      </w:r>
      <w:r>
        <w:rPr>
          <w:color w:val="0000FF"/>
          <w:u w:val="single" w:color="0000FF"/>
        </w:rPr>
        <w:t>Samuel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u w:val="single" w:color="0000FF"/>
        </w:rPr>
        <w:t xml:space="preserve"> </w:t>
      </w:r>
      <w:r>
        <w:fldChar w:fldCharType="begin"/>
      </w:r>
      <w:r>
        <w:instrText xml:space="preserve"> HYPERLINK "http://kenyalaw.org/caselaw/cases/view/118097/" \h </w:instrText>
      </w:r>
      <w:r>
        <w:fldChar w:fldCharType="separate"/>
      </w:r>
      <w:r>
        <w:rPr>
          <w:color w:val="0000FF"/>
          <w:u w:val="single" w:color="0000FF"/>
        </w:rPr>
        <w:t>Warue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u w:val="single" w:color="0000FF"/>
        </w:rPr>
        <w:t xml:space="preserve"> </w:t>
      </w:r>
      <w:r>
        <w:fldChar w:fldCharType="begin"/>
      </w:r>
      <w:r>
        <w:instrText xml:space="preserve"> HYPERLINK "http://kenyalaw.org/caselaw/cases/view/118097/" \h </w:instrText>
      </w:r>
      <w:r>
        <w:fldChar w:fldCharType="separate"/>
      </w:r>
      <w:r>
        <w:rPr>
          <w:color w:val="0000FF"/>
          <w:u w:val="single" w:color="0000FF"/>
        </w:rPr>
        <w:t>Karimi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u w:val="single" w:color="0000FF"/>
        </w:rPr>
        <w:t xml:space="preserve"> </w:t>
      </w:r>
      <w:r>
        <w:fldChar w:fldCharType="begin"/>
      </w:r>
      <w:r>
        <w:instrText xml:space="preserve"> HYPERLINK "http://kenyalaw.org/caselaw/cases/view/118097/" \h </w:instrText>
      </w:r>
      <w:r>
        <w:fldChar w:fldCharType="separate"/>
      </w:r>
      <w:r>
        <w:rPr>
          <w:color w:val="0000FF"/>
          <w:u w:val="single" w:color="0000FF"/>
        </w:rPr>
        <w:t>v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u w:val="single" w:color="0000FF"/>
        </w:rPr>
        <w:t xml:space="preserve"> </w:t>
      </w:r>
      <w:r>
        <w:fldChar w:fldCharType="begin"/>
      </w:r>
      <w:r>
        <w:instrText xml:space="preserve"> HYPERLINK "http://kenyalaw.org/caselaw/cases/view/118097/" \h </w:instrText>
      </w:r>
      <w:r>
        <w:fldChar w:fldCharType="separate"/>
      </w:r>
      <w:r>
        <w:rPr>
          <w:color w:val="0000FF"/>
          <w:u w:val="single" w:color="0000FF"/>
        </w:rPr>
        <w:t>R</w:t>
      </w:r>
      <w:r>
        <w:rPr>
          <w:color w:val="0000FF"/>
          <w:u w:val="single" w:color="0000FF"/>
        </w:rPr>
        <w:fldChar w:fldCharType="end"/>
      </w:r>
    </w:p>
    <w:p w14:paraId="4EA05914">
      <w:pPr>
        <w:spacing w:after="311"/>
        <w:ind w:left="435"/>
        <w:rPr>
          <w:b/>
        </w:rPr>
      </w:pPr>
      <w:r>
        <w:t xml:space="preserve">Court of Appeal at Nyeri Criminal AppealNo.16of2014) </w:t>
      </w:r>
      <w:r>
        <w:rPr>
          <w:b/>
        </w:rPr>
        <w:t>(5 Marks)</w:t>
      </w:r>
    </w:p>
    <w:p w14:paraId="74213738">
      <w:pPr>
        <w:spacing w:after="311"/>
        <w:ind w:left="435"/>
        <w:rPr>
          <w:bCs/>
        </w:rPr>
      </w:pPr>
      <w:r>
        <w:rPr>
          <w:bCs/>
        </w:rPr>
        <w:t xml:space="preserve"> </w:t>
      </w:r>
    </w:p>
    <w:p w14:paraId="788626E9">
      <w:pPr>
        <w:numPr>
          <w:ilvl w:val="0"/>
          <w:numId w:val="1"/>
        </w:numPr>
        <w:spacing w:line="364" w:lineRule="auto"/>
        <w:ind w:hanging="425"/>
      </w:pPr>
      <w:r>
        <w:t xml:space="preserve">List and explain briefly the conditions that have to be there for Electronic and digital evidence to be admissible in a court of law. </w:t>
      </w:r>
      <w:r>
        <w:rPr>
          <w:b/>
        </w:rPr>
        <w:t>(5 Marks)</w:t>
      </w:r>
    </w:p>
    <w:p w14:paraId="3CD3E941">
      <w:pPr>
        <w:spacing w:line="364" w:lineRule="auto"/>
        <w:ind w:left="425" w:firstLine="0"/>
        <w:rPr>
          <w:bCs/>
        </w:rPr>
      </w:pPr>
    </w:p>
    <w:p w14:paraId="4D8F9FE5">
      <w:pPr>
        <w:pStyle w:val="2"/>
        <w:spacing w:after="312"/>
        <w:ind w:left="-5"/>
      </w:pPr>
      <w:r>
        <w:t>QUESTION TWO</w:t>
      </w:r>
    </w:p>
    <w:p w14:paraId="19F5F9B9">
      <w:pPr>
        <w:numPr>
          <w:ilvl w:val="0"/>
          <w:numId w:val="2"/>
        </w:numPr>
        <w:spacing w:line="364" w:lineRule="auto"/>
        <w:ind w:hanging="425"/>
      </w:pPr>
      <w:r>
        <w:t xml:space="preserve">When sentencing, courts are guided by the Sentencing Policy Guidelines. List and explain briefly these principles </w:t>
      </w:r>
      <w:r>
        <w:rPr>
          <w:b/>
        </w:rPr>
        <w:t>(5 Marks)</w:t>
      </w:r>
    </w:p>
    <w:p w14:paraId="44B49E62">
      <w:pPr>
        <w:spacing w:line="364" w:lineRule="auto"/>
        <w:ind w:left="425" w:firstLine="0"/>
      </w:pPr>
    </w:p>
    <w:p w14:paraId="0C79E668">
      <w:pPr>
        <w:numPr>
          <w:ilvl w:val="0"/>
          <w:numId w:val="2"/>
        </w:numPr>
        <w:spacing w:line="362" w:lineRule="auto"/>
        <w:ind w:hanging="425"/>
      </w:pPr>
      <w:r>
        <w:t xml:space="preserve">List and explain the general principles that guide the Bond and Bail policy guidelines in Kenya. </w:t>
      </w:r>
      <w:r>
        <w:rPr>
          <w:b/>
        </w:rPr>
        <w:t>(6 Marks)</w:t>
      </w:r>
    </w:p>
    <w:p w14:paraId="0D0A0164">
      <w:pPr>
        <w:pStyle w:val="2"/>
        <w:spacing w:after="314"/>
        <w:ind w:left="-5"/>
      </w:pPr>
      <w:r>
        <w:t>QUESTION THREE</w:t>
      </w:r>
    </w:p>
    <w:p w14:paraId="2BB8D657">
      <w:pPr>
        <w:pStyle w:val="7"/>
        <w:numPr>
          <w:ilvl w:val="0"/>
          <w:numId w:val="3"/>
        </w:numPr>
        <w:spacing w:line="364" w:lineRule="auto"/>
      </w:pPr>
      <w:r>
        <w:t xml:space="preserve">Discuss these </w:t>
      </w:r>
      <w:r>
        <w:rPr>
          <w:b/>
        </w:rPr>
        <w:t xml:space="preserve">general principles </w:t>
      </w:r>
      <w:r>
        <w:t>relating to criminal responsibilities as outlined under the penal code:-</w:t>
      </w:r>
    </w:p>
    <w:sectPr>
      <w:pgSz w:w="11906" w:h="16838"/>
      <w:pgMar w:top="1450" w:right="1802" w:bottom="1605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FA5FC9"/>
    <w:multiLevelType w:val="multilevel"/>
    <w:tmpl w:val="2BFA5FC9"/>
    <w:lvl w:ilvl="0" w:tentative="0">
      <w:start w:val="1"/>
      <w:numFmt w:val="lowerLetter"/>
      <w:lvlText w:val="%1."/>
      <w:lvlJc w:val="left"/>
      <w:pPr>
        <w:ind w:left="405" w:hanging="4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65" w:hanging="360"/>
      </w:pPr>
    </w:lvl>
    <w:lvl w:ilvl="2" w:tentative="0">
      <w:start w:val="1"/>
      <w:numFmt w:val="lowerRoman"/>
      <w:lvlText w:val="%3."/>
      <w:lvlJc w:val="right"/>
      <w:pPr>
        <w:ind w:left="1785" w:hanging="180"/>
      </w:pPr>
    </w:lvl>
    <w:lvl w:ilvl="3" w:tentative="0">
      <w:start w:val="1"/>
      <w:numFmt w:val="decimal"/>
      <w:lvlText w:val="%4."/>
      <w:lvlJc w:val="left"/>
      <w:pPr>
        <w:ind w:left="2505" w:hanging="360"/>
      </w:pPr>
    </w:lvl>
    <w:lvl w:ilvl="4" w:tentative="0">
      <w:start w:val="1"/>
      <w:numFmt w:val="lowerLetter"/>
      <w:lvlText w:val="%5."/>
      <w:lvlJc w:val="left"/>
      <w:pPr>
        <w:ind w:left="3225" w:hanging="360"/>
      </w:pPr>
    </w:lvl>
    <w:lvl w:ilvl="5" w:tentative="0">
      <w:start w:val="1"/>
      <w:numFmt w:val="lowerRoman"/>
      <w:lvlText w:val="%6."/>
      <w:lvlJc w:val="right"/>
      <w:pPr>
        <w:ind w:left="3945" w:hanging="180"/>
      </w:pPr>
    </w:lvl>
    <w:lvl w:ilvl="6" w:tentative="0">
      <w:start w:val="1"/>
      <w:numFmt w:val="decimal"/>
      <w:lvlText w:val="%7."/>
      <w:lvlJc w:val="left"/>
      <w:pPr>
        <w:ind w:left="4665" w:hanging="360"/>
      </w:pPr>
    </w:lvl>
    <w:lvl w:ilvl="7" w:tentative="0">
      <w:start w:val="1"/>
      <w:numFmt w:val="lowerLetter"/>
      <w:lvlText w:val="%8."/>
      <w:lvlJc w:val="left"/>
      <w:pPr>
        <w:ind w:left="5385" w:hanging="360"/>
      </w:pPr>
    </w:lvl>
    <w:lvl w:ilvl="8" w:tentative="0">
      <w:start w:val="1"/>
      <w:numFmt w:val="lowerRoman"/>
      <w:lvlText w:val="%9."/>
      <w:lvlJc w:val="right"/>
      <w:pPr>
        <w:ind w:left="6105" w:hanging="180"/>
      </w:pPr>
    </w:lvl>
  </w:abstractNum>
  <w:abstractNum w:abstractNumId="1">
    <w:nsid w:val="69AB0CFE"/>
    <w:multiLevelType w:val="multilevel"/>
    <w:tmpl w:val="69AB0CFE"/>
    <w:lvl w:ilvl="0" w:tentative="0">
      <w:start w:val="1"/>
      <w:numFmt w:val="lowerLetter"/>
      <w:lvlText w:val="%1."/>
      <w:lvlJc w:val="left"/>
      <w:pPr>
        <w:ind w:left="4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2">
    <w:nsid w:val="7828649D"/>
    <w:multiLevelType w:val="multilevel"/>
    <w:tmpl w:val="7828649D"/>
    <w:lvl w:ilvl="0" w:tentative="0">
      <w:start w:val="1"/>
      <w:numFmt w:val="lowerLetter"/>
      <w:lvlText w:val="%1."/>
      <w:lvlJc w:val="left"/>
      <w:pPr>
        <w:ind w:left="425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4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A8"/>
    <w:rsid w:val="000133C6"/>
    <w:rsid w:val="000C7952"/>
    <w:rsid w:val="000F6AF4"/>
    <w:rsid w:val="00231871"/>
    <w:rsid w:val="004D4F89"/>
    <w:rsid w:val="005D6876"/>
    <w:rsid w:val="00626CA8"/>
    <w:rsid w:val="00711B6F"/>
    <w:rsid w:val="008D0777"/>
    <w:rsid w:val="009C58DE"/>
    <w:rsid w:val="00D4570A"/>
    <w:rsid w:val="00EE1A87"/>
    <w:rsid w:val="05336716"/>
    <w:rsid w:val="18B61F54"/>
    <w:rsid w:val="4D86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13" w:line="269" w:lineRule="auto"/>
      <w:ind w:left="10" w:hanging="10"/>
    </w:pPr>
    <w:rPr>
      <w:rFonts w:ascii="Times New Roman" w:hAnsi="Times New Roman" w:eastAsia="Times New Roman" w:cs="Times New Roman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214" w:line="265" w:lineRule="auto"/>
      <w:ind w:left="12" w:hanging="10"/>
      <w:outlineLvl w:val="0"/>
    </w:pPr>
    <w:rPr>
      <w:rFonts w:ascii="Times New Roman" w:hAnsi="Times New Roman" w:eastAsia="Times New Roman" w:cs="Times New Roman"/>
      <w:b/>
      <w:color w:val="000000"/>
      <w:sz w:val="24"/>
      <w:szCs w:val="22"/>
      <w:lang w:val="en-US" w:eastAsia="en-US" w:bidi="ar-SA"/>
    </w:rPr>
  </w:style>
  <w:style w:type="paragraph" w:styleId="3">
    <w:name w:val="heading 3"/>
    <w:basedOn w:val="1"/>
    <w:next w:val="1"/>
    <w:link w:val="8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Heading 1 Char"/>
    <w:link w:val="2"/>
    <w:qFormat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Heading 3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3629</Words>
  <Characters>20689</Characters>
  <Lines>172</Lines>
  <Paragraphs>48</Paragraphs>
  <TotalTime>13</TotalTime>
  <ScaleCrop>false</ScaleCrop>
  <LinksUpToDate>false</LinksUpToDate>
  <CharactersWithSpaces>24270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2024-06-27T09:58:00Z</dcterms:created>
  <dc:creator>Richard Maina</dc:creator>
  <cp:lastModifiedBy>Richard Maina</cp:lastModifiedBy>
  <dcterms:modified xsi:type="dcterms:W3CDTF">2024-10-26T20:25:26Z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C7DFF4E9B5F645CB81C69EF27EA07E9F_13</vt:lpwstr>
  </property>
</Properties>
</file>