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incident-doc-gap-agent-roi-analysis"/>
    <w:p>
      <w:pPr>
        <w:pStyle w:val="Heading1"/>
      </w:pPr>
      <w:r>
        <w:t xml:space="preserve">Incident Doc Gap Agent — ROI Analysis</w:t>
      </w:r>
    </w:p>
    <w:bookmarkStart w:id="9" w:name="executive-summary"/>
    <w:p>
      <w:pPr>
        <w:pStyle w:val="Heading2"/>
      </w:pPr>
      <w:r>
        <w:t xml:space="preserve">Executive Summary</w:t>
      </w:r>
    </w:p>
    <w:p>
      <w:pPr>
        <w:pStyle w:val="FirstParagraph"/>
      </w:pPr>
      <w:r>
        <w:t xml:space="preserve">The incident-doc-gap agent is an AI-assisted system that analyzes support incidents filed against infrastructure operations teams, identifies documentation gaps, and produces validated doc-fix drafts. It runs monthly at an operating cost of approximately 3.5 hours of FTE time.</w:t>
      </w:r>
    </w:p>
    <w:p>
      <w:pPr>
        <w:pStyle w:val="BodyText"/>
      </w:pPr>
      <w:r>
        <w:t xml:space="preserve">The program breaks even if the resulting documentation prevents or materially shortens just 1–2 Sev3 incidents per month. Based on a human-calibrated sample and three months of volume-trend data, the plausible opportunity is larger — but prevention impact has not yet been directly measured and should be validated through ongoing observation.</w:t>
      </w:r>
    </w:p>
    <w:p>
      <w:r>
        <w:pict>
          <v:rect style="width:0;height:1.5pt" o:hralign="center" o:hrstd="t" o:hr="t"/>
        </w:pict>
      </w:r>
    </w:p>
    <w:bookmarkEnd w:id="9"/>
    <w:bookmarkStart w:id="10" w:name="what-the-agent-does"/>
    <w:p>
      <w:pPr>
        <w:pStyle w:val="Heading2"/>
      </w:pPr>
      <w:r>
        <w:t xml:space="preserve">What the Agent Does</w:t>
      </w:r>
    </w:p>
    <w:p>
      <w:pPr>
        <w:pStyle w:val="FirstParagraph"/>
      </w:pPr>
      <w:r>
        <w:t xml:space="preserve">The incident-doc-gap agent automates a three-phase monthly workflow:</w:t>
      </w:r>
    </w:p>
    <w:p>
      <w:pPr>
        <w:numPr>
          <w:ilvl w:val="0"/>
          <w:numId w:val="1001"/>
        </w:numPr>
      </w:pPr>
      <w:r>
        <w:rPr>
          <w:b/>
          <w:bCs/>
        </w:rPr>
        <w:t xml:space="preserve">Analyze</w:t>
      </w:r>
      <w:r>
        <w:t xml:space="preserve"> </w:t>
      </w:r>
      <w:r>
        <w:t xml:space="preserve">— Queries the incident management system for incidents across multiple operations teams. Extracts structured data, classifies incidents into recurring themes, evaluates each for documentation gaps via three independent evaluator perspectives, and produces validated doc-fix drafts.</w:t>
      </w:r>
    </w:p>
    <w:p>
      <w:pPr>
        <w:numPr>
          <w:ilvl w:val="0"/>
          <w:numId w:val="1001"/>
        </w:numPr>
      </w:pPr>
      <w:r>
        <w:rPr>
          <w:b/>
          <w:bCs/>
        </w:rPr>
        <w:t xml:space="preserve">Publish</w:t>
      </w:r>
      <w:r>
        <w:t xml:space="preserve"> </w:t>
      </w:r>
      <w:r>
        <w:t xml:space="preserve">— After human review, pushes doc fixes to a documentation branch, uploads drafts for tech review, and posts review requests to team channels.</w:t>
      </w:r>
    </w:p>
    <w:p>
      <w:pPr>
        <w:numPr>
          <w:ilvl w:val="0"/>
          <w:numId w:val="1001"/>
        </w:numPr>
      </w:pPr>
      <w:r>
        <w:rPr>
          <w:b/>
          <w:bCs/>
        </w:rPr>
        <w:t xml:space="preserve">Finalize</w:t>
      </w:r>
      <w:r>
        <w:t xml:space="preserve"> </w:t>
      </w:r>
      <w:r>
        <w:t xml:space="preserve">— Incorporates feedback, creates a pull request, and tracks through merge.</w:t>
      </w:r>
    </w:p>
    <w:p>
      <w:pPr>
        <w:pStyle w:val="FirstParagraph"/>
      </w:pPr>
      <w:r>
        <w:t xml:space="preserve">Each run processes approximately 350–680 total incidents, filtering to 240–290</w:t>
      </w:r>
      <w:r>
        <w:t xml:space="preserve"> </w:t>
      </w:r>
      <w:r>
        <w:t xml:space="preserve">“signal”</w:t>
      </w:r>
      <w:r>
        <w:t xml:space="preserve"> </w:t>
      </w:r>
      <w:r>
        <w:t xml:space="preserve">incidents (excluding automated alerts and noise). Draft fixes pass through five independent validation layers before human review.</w:t>
      </w:r>
    </w:p>
    <w:p>
      <w:r>
        <w:pict>
          <v:rect style="width:0;height:1.5pt" o:hralign="center" o:hrstd="t" o:hr="t"/>
        </w:pict>
      </w:r>
    </w:p>
    <w:bookmarkEnd w:id="10"/>
    <w:bookmarkStart w:id="11" w:name="operating-cost"/>
    <w:p>
      <w:pPr>
        <w:pStyle w:val="Heading2"/>
      </w:pPr>
      <w:r>
        <w:t xml:space="preserve">Operating Cost</w:t>
      </w:r>
    </w:p>
    <w:p>
      <w:pPr>
        <w:pStyle w:val="FirstParagraph"/>
      </w:pPr>
      <w:r>
        <w:rPr>
          <w:b/>
          <w:bCs/>
        </w:rPr>
        <w:t xml:space="preserve">Monthly cost:</w:t>
      </w:r>
      <w:r>
        <w:t xml:space="preserve"> </w:t>
      </w:r>
      <w:r>
        <w:t xml:space="preserve">3–4 hours of FTE time.</w:t>
      </w:r>
    </w:p>
    <w:p>
      <w:pPr>
        <w:pStyle w:val="BodyText"/>
      </w:pPr>
      <w:r>
        <w:t xml:space="preserve">This covers:</w:t>
      </w:r>
      <w:r>
        <w:t xml:space="preserve"> </w:t>
      </w:r>
      <w:r>
        <w:t xml:space="preserve">- Running the agent interactively (confirming taxonomy changes, reviewing flagged incidents)</w:t>
      </w:r>
      <w:r>
        <w:t xml:space="preserve"> </w:t>
      </w:r>
      <w:r>
        <w:t xml:space="preserve">- Reviewing drafted documentation for quality and accuracy</w:t>
      </w:r>
      <w:r>
        <w:t xml:space="preserve"> </w:t>
      </w:r>
      <w:r>
        <w:t xml:space="preserve">- Reviewing SME feedback during the tech review period (when received)</w:t>
      </w:r>
      <w:r>
        <w:t xml:space="preserve"> </w:t>
      </w:r>
      <w:r>
        <w:t xml:space="preserve">- Triggering publish and finalize workflows</w:t>
      </w:r>
    </w:p>
    <w:p>
      <w:pPr>
        <w:pStyle w:val="BodyText"/>
      </w:pPr>
      <w:r>
        <w:rPr>
          <w:b/>
          <w:bCs/>
        </w:rPr>
        <w:t xml:space="preserve">What is excluded:</w:t>
      </w:r>
      <w:r>
        <w:t xml:space="preserve"> </w:t>
      </w:r>
      <w:r>
        <w:t xml:space="preserve">Agent development and iteration costs (treated as sunk). SME tech review is requested but not consistently obtained; operating cost reflects actual practice.</w:t>
      </w:r>
    </w:p>
    <w:p>
      <w:pPr>
        <w:pStyle w:val="BodyText"/>
      </w:pPr>
      <w:r>
        <w:rPr>
          <w:b/>
          <w:bCs/>
        </w:rPr>
        <w:t xml:space="preserve">The honest counterfactual:</w:t>
      </w:r>
      <w:r>
        <w:t xml:space="preserve"> </w:t>
      </w:r>
      <w:r>
        <w:t xml:space="preserve">Without the agent, this work does not happen. No one was performing systematic monthly incident-to-documentation-gap analysis prior to the agent’s deployment. The agent enables a new capability rather than accelerating an existing process.</w:t>
      </w:r>
    </w:p>
    <w:p>
      <w:pPr>
        <w:pStyle w:val="BlockText"/>
      </w:pPr>
      <w:r>
        <w:rPr>
          <w:i/>
          <w:iCs/>
        </w:rPr>
        <w:t xml:space="preserve">Note: A fully manual equivalent of this workflow would require an estimated 40–80+ hours of analyst time — but this is academic, as such a process was never going to be resourced.</w:t>
      </w:r>
    </w:p>
    <w:p>
      <w:r>
        <w:pict>
          <v:rect style="width:0;height:1.5pt" o:hralign="center" o:hrstd="t" o:hr="t"/>
        </w:pict>
      </w:r>
    </w:p>
    <w:bookmarkEnd w:id="11"/>
    <w:bookmarkStart w:id="16" w:name="what-it-produces"/>
    <w:p>
      <w:pPr>
        <w:pStyle w:val="Heading2"/>
      </w:pPr>
      <w:r>
        <w:t xml:space="preserve">What It Produces</w:t>
      </w:r>
    </w:p>
    <w:bookmarkStart w:id="12" w:name="X1e1a08cfa57dabeb31d1d5f77b41f19301f0343"/>
    <w:p>
      <w:pPr>
        <w:pStyle w:val="Heading3"/>
      </w:pPr>
      <w:r>
        <w:t xml:space="preserve">Operational intelligence (independent of doc fixes)</w:t>
      </w:r>
    </w:p>
    <w:p>
      <w:pPr>
        <w:pStyle w:val="FirstParagraph"/>
      </w:pPr>
      <w:r>
        <w:t xml:space="preserve">Each run produces a</w:t>
      </w:r>
      <w:r>
        <w:t xml:space="preserve"> </w:t>
      </w:r>
      <w:r>
        <w:rPr>
          <w:b/>
          <w:bCs/>
        </w:rPr>
        <w:t xml:space="preserve">categorized breakdown of what is driving incident volume</w:t>
      </w:r>
      <w:r>
        <w:t xml:space="preserve"> </w:t>
      </w:r>
      <w:r>
        <w:t xml:space="preserve">across all teams. This gives team leads visibility into recurring incident patterns — which themes are growing, which are declining, and where engineering or documentation investment would have the most impact.</w:t>
      </w:r>
    </w:p>
    <w:p>
      <w:pPr>
        <w:pStyle w:val="BodyText"/>
      </w:pPr>
      <w:r>
        <w:t xml:space="preserve">This theme analysis is a standalone deliverable. It does not require any documentation to be drafted or published to be valuable.</w:t>
      </w:r>
    </w:p>
    <w:bookmarkEnd w:id="12"/>
    <w:bookmarkStart w:id="13" w:name="X4b91dce18663ad5ae2cf2f3b0eb9988583c053d"/>
    <w:p>
      <w:pPr>
        <w:pStyle w:val="Heading3"/>
      </w:pPr>
      <w:r>
        <w:t xml:space="preserve">Documentation gap identification and fixes</w:t>
      </w:r>
    </w:p>
    <w:p>
      <w:pPr>
        <w:pStyle w:val="FirstParagraph"/>
      </w:pPr>
      <w:r>
        <w:t xml:space="preserve">For themes where documentation gaps are confirmed:</w:t>
      </w:r>
      <w:r>
        <w:t xml:space="preserve"> </w:t>
      </w:r>
      <w:r>
        <w:t xml:space="preserve">- Standalone troubleshooting guides (new pages)</w:t>
      </w:r>
      <w:r>
        <w:t xml:space="preserve"> </w:t>
      </w:r>
      <w:r>
        <w:t xml:space="preserve">- Augmentation patches to existing documentation (targeted additions)</w:t>
      </w:r>
      <w:r>
        <w:t xml:space="preserve"> </w:t>
      </w:r>
      <w:r>
        <w:t xml:space="preserve">- Discoverability improvements (cross-links, metadata, error-message indexing)</w:t>
      </w:r>
    </w:p>
    <w:p>
      <w:pPr>
        <w:pStyle w:val="BodyText"/>
      </w:pPr>
      <w:r>
        <w:t xml:space="preserve">Over three runs (covering a 3-month period), the agent has:</w:t>
      </w:r>
      <w:r>
        <w:t xml:space="preserve"> </w:t>
      </w:r>
      <w:r>
        <w:t xml:space="preserve">- Processed approximately 870 signal incidents</w:t>
      </w:r>
      <w:r>
        <w:t xml:space="preserve"> </w:t>
      </w:r>
      <w:r>
        <w:t xml:space="preserve">- Identified 16 recurring themes</w:t>
      </w:r>
      <w:r>
        <w:t xml:space="preserve"> </w:t>
      </w:r>
      <w:r>
        <w:t xml:space="preserve">- Produced draft fixes for 8 themes</w:t>
      </w:r>
      <w:r>
        <w:t xml:space="preserve"> </w:t>
      </w:r>
      <w:r>
        <w:t xml:space="preserve">- Published documentation improvements for 7 themes after validation</w:t>
      </w:r>
    </w:p>
    <w:bookmarkEnd w:id="13"/>
    <w:bookmarkStart w:id="14" w:name="validation-pipeline"/>
    <w:p>
      <w:pPr>
        <w:pStyle w:val="Heading3"/>
      </w:pPr>
      <w:r>
        <w:t xml:space="preserve">Validation pipeline</w:t>
      </w:r>
    </w:p>
    <w:p>
      <w:pPr>
        <w:pStyle w:val="FirstParagraph"/>
      </w:pPr>
      <w:r>
        <w:t xml:space="preserve">Every draft passes through five independent validation layers:</w:t>
      </w:r>
      <w:r>
        <w:t xml:space="preserve"> </w:t>
      </w:r>
      <w:r>
        <w:t xml:space="preserve">1.</w:t>
      </w:r>
      <w:r>
        <w:t xml:space="preserve"> </w:t>
      </w:r>
      <w:r>
        <w:rPr>
          <w:b/>
          <w:bCs/>
        </w:rPr>
        <w:t xml:space="preserve">Overlap detection</w:t>
      </w:r>
      <w:r>
        <w:t xml:space="preserve"> </w:t>
      </w:r>
      <w:r>
        <w:t xml:space="preserve">— Verifies content doesn’t duplicate existing docs (assessed at resolution level)</w:t>
      </w:r>
      <w:r>
        <w:t xml:space="preserve"> </w:t>
      </w:r>
      <w:r>
        <w:t xml:space="preserve">2.</w:t>
      </w:r>
      <w:r>
        <w:t xml:space="preserve"> </w:t>
      </w:r>
      <w:r>
        <w:rPr>
          <w:b/>
          <w:bCs/>
        </w:rPr>
        <w:t xml:space="preserve">Clarity pass</w:t>
      </w:r>
      <w:r>
        <w:t xml:space="preserve"> </w:t>
      </w:r>
      <w:r>
        <w:t xml:space="preserve">— Revises prose quality without changing technical content</w:t>
      </w:r>
      <w:r>
        <w:t xml:space="preserve"> </w:t>
      </w:r>
      <w:r>
        <w:t xml:space="preserve">3.</w:t>
      </w:r>
      <w:r>
        <w:t xml:space="preserve"> </w:t>
      </w:r>
      <w:r>
        <w:rPr>
          <w:b/>
          <w:bCs/>
        </w:rPr>
        <w:t xml:space="preserve">Cmdlet verification</w:t>
      </w:r>
      <w:r>
        <w:t xml:space="preserve"> </w:t>
      </w:r>
      <w:r>
        <w:t xml:space="preserve">— Confirms all referenced tools and commands exist in source</w:t>
      </w:r>
      <w:r>
        <w:t xml:space="preserve"> </w:t>
      </w:r>
      <w:r>
        <w:t xml:space="preserve">4.</w:t>
      </w:r>
      <w:r>
        <w:t xml:space="preserve"> </w:t>
      </w:r>
      <w:r>
        <w:rPr>
          <w:b/>
          <w:bCs/>
        </w:rPr>
        <w:t xml:space="preserve">Grounding verification</w:t>
      </w:r>
      <w:r>
        <w:t xml:space="preserve"> </w:t>
      </w:r>
      <w:r>
        <w:t xml:space="preserve">— Fact-checks paths, headings, and procedural claims</w:t>
      </w:r>
      <w:r>
        <w:t xml:space="preserve"> </w:t>
      </w:r>
      <w:r>
        <w:t xml:space="preserve">5.</w:t>
      </w:r>
      <w:r>
        <w:t xml:space="preserve"> </w:t>
      </w:r>
      <w:r>
        <w:rPr>
          <w:b/>
          <w:bCs/>
        </w:rPr>
        <w:t xml:space="preserve">Effectiveness evaluation</w:t>
      </w:r>
      <w:r>
        <w:t xml:space="preserve"> </w:t>
      </w:r>
      <w:r>
        <w:t xml:space="preserve">— Looks up motivating incidents and assesses whether the draft would address them</w:t>
      </w:r>
    </w:p>
    <w:bookmarkEnd w:id="14"/>
    <w:bookmarkStart w:id="15" w:name="team-coverage"/>
    <w:p>
      <w:pPr>
        <w:pStyle w:val="Heading3"/>
      </w:pPr>
      <w:r>
        <w:t xml:space="preserve">Team coverage</w:t>
      </w:r>
    </w:p>
    <w:tbl>
      <w:tblPr>
        <w:tblStyle w:val="Table"/>
        <w:tblW w:type="pct" w:w="5000"/>
        <w:tblLayout w:type="fixed"/>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4467"/>
        <w:gridCol w:w="2233"/>
      </w:tblGrid>
      <w:tr>
        <w:trPr>
          <w:tblHeader w:val="on"/>
        </w:trPr>
        <w:tc>
          <w:tcPr/>
          <w:p>
            <w:pPr>
              <w:pStyle w:val="Compact"/>
            </w:pPr>
            <w:r>
              <w:t xml:space="preserve">Team</w:t>
            </w:r>
          </w:p>
        </w:tc>
        <w:tc>
          <w:tcPr/>
          <w:p>
            <w:pPr>
              <w:pStyle w:val="Compact"/>
            </w:pPr>
            <w:r>
              <w:t xml:space="preserve">Other doc-gap tooling</w:t>
            </w:r>
          </w:p>
        </w:tc>
        <w:tc>
          <w:tcPr/>
          <w:p>
            <w:pPr>
              <w:pStyle w:val="Compact"/>
            </w:pPr>
            <w:r>
              <w:t xml:space="preserve">Agent role</w:t>
            </w:r>
          </w:p>
        </w:tc>
      </w:tr>
      <w:tr>
        <w:tc>
          <w:tcPr/>
          <w:p>
            <w:pPr>
              <w:pStyle w:val="Compact"/>
            </w:pPr>
            <w:r>
              <w:t xml:space="preserve">Operations Team A</w:t>
            </w:r>
          </w:p>
        </w:tc>
        <w:tc>
          <w:tcPr/>
          <w:p>
            <w:pPr>
              <w:pStyle w:val="Compact"/>
            </w:pPr>
            <w:r>
              <w:t xml:space="preserve">None</w:t>
            </w:r>
          </w:p>
        </w:tc>
        <w:tc>
          <w:tcPr/>
          <w:p>
            <w:pPr>
              <w:pStyle w:val="Compact"/>
            </w:pPr>
            <w:r>
              <w:t xml:space="preserve">Primary and only systematic doc-gap analysis</w:t>
            </w:r>
          </w:p>
        </w:tc>
      </w:tr>
      <w:tr>
        <w:tc>
          <w:tcPr/>
          <w:p>
            <w:pPr>
              <w:pStyle w:val="Compact"/>
            </w:pPr>
            <w:r>
              <w:t xml:space="preserve">Operations Team B</w:t>
            </w:r>
          </w:p>
        </w:tc>
        <w:tc>
          <w:tcPr/>
          <w:p>
            <w:pPr>
              <w:pStyle w:val="Compact"/>
            </w:pPr>
            <w:r>
              <w:t xml:space="preserve">None</w:t>
            </w:r>
          </w:p>
        </w:tc>
        <w:tc>
          <w:tcPr/>
          <w:p>
            <w:pPr>
              <w:pStyle w:val="Compact"/>
            </w:pPr>
            <w:r>
              <w:t xml:space="preserve">Primary and only systematic doc-gap analysis</w:t>
            </w:r>
          </w:p>
        </w:tc>
      </w:tr>
      <w:tr>
        <w:tc>
          <w:tcPr/>
          <w:p>
            <w:pPr>
              <w:pStyle w:val="Compact"/>
            </w:pPr>
            <w:r>
              <w:t xml:space="preserve">Operations Team C</w:t>
            </w:r>
          </w:p>
        </w:tc>
        <w:tc>
          <w:tcPr/>
          <w:p>
            <w:pPr>
              <w:pStyle w:val="Compact"/>
            </w:pPr>
            <w:r>
              <w:t xml:space="preserve">Automated TSG generator</w:t>
            </w:r>
          </w:p>
        </w:tc>
        <w:tc>
          <w:tcPr/>
          <w:p>
            <w:pPr>
              <w:pStyle w:val="Compact"/>
            </w:pPr>
            <w:r>
              <w:t xml:space="preserve">Supplemental — covers gaps the automated tool misses</w:t>
            </w:r>
          </w:p>
        </w:tc>
      </w:tr>
    </w:tbl>
    <w:p>
      <w:r>
        <w:pict>
          <v:rect style="width:0;height:1.5pt" o:hralign="center" o:hrstd="t" o:hr="t"/>
        </w:pict>
      </w:r>
    </w:p>
    <w:bookmarkEnd w:id="15"/>
    <w:bookmarkEnd w:id="16"/>
    <w:bookmarkStart w:id="20" w:name="incident-burden-analysis"/>
    <w:p>
      <w:pPr>
        <w:pStyle w:val="Heading2"/>
      </w:pPr>
      <w:r>
        <w:t xml:space="preserve">Incident Burden Analysis</w:t>
      </w:r>
    </w:p>
    <w:bookmarkStart w:id="17" w:name="framework"/>
    <w:p>
      <w:pPr>
        <w:pStyle w:val="Heading3"/>
      </w:pPr>
      <w:r>
        <w:t xml:space="preserve">Framework</w:t>
      </w:r>
    </w:p>
    <w:p>
      <w:pPr>
        <w:pStyle w:val="FirstParagraph"/>
      </w:pPr>
      <w:r>
        <w:t xml:space="preserve">Not all incidents impose equal operational burden. The analysis uses a composite score:</w:t>
      </w:r>
    </w:p>
    <w:p>
      <w:pPr>
        <w:pStyle w:val="SourceCode"/>
      </w:pPr>
      <w:r>
        <w:rPr>
          <w:rStyle w:val="VerbatimChar"/>
        </w:rPr>
        <w:t xml:space="preserve">Incident_Burden = Severity_Weight × Time_Factor × Escalation_Factor</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t xml:space="preserve">Component</w:t>
            </w:r>
          </w:p>
        </w:tc>
        <w:tc>
          <w:tcPr/>
          <w:p>
            <w:pPr>
              <w:pStyle w:val="Compact"/>
            </w:pPr>
            <w:r>
              <w:t xml:space="preserve">Method</w:t>
            </w:r>
          </w:p>
        </w:tc>
      </w:tr>
      <w:tr>
        <w:tc>
          <w:tcPr/>
          <w:p>
            <w:pPr>
              <w:pStyle w:val="Compact"/>
            </w:pPr>
            <w:r>
              <w:t xml:space="preserve">Severity weight</w:t>
            </w:r>
          </w:p>
        </w:tc>
        <w:tc>
          <w:tcPr/>
          <w:p>
            <w:pPr>
              <w:pStyle w:val="Compact"/>
            </w:pPr>
            <w:r>
              <w:t xml:space="preserve">Sev1=10×, Sev2=4×, Sev3=1×, Sev4=0.5×</w:t>
            </w:r>
          </w:p>
        </w:tc>
      </w:tr>
      <w:tr>
        <w:tc>
          <w:tcPr/>
          <w:p>
            <w:pPr>
              <w:pStyle w:val="Compact"/>
            </w:pPr>
            <w:r>
              <w:t xml:space="preserve">Time factor</w:t>
            </w:r>
          </w:p>
        </w:tc>
        <w:tc>
          <w:tcPr/>
          <w:p>
            <w:pPr>
              <w:pStyle w:val="Compact"/>
            </w:pPr>
            <w:r>
              <w:t xml:space="preserve">Log-normalized hours from CreatedDate → MitigatedDate</w:t>
            </w:r>
          </w:p>
        </w:tc>
      </w:tr>
      <w:tr>
        <w:tc>
          <w:tcPr/>
          <w:p>
            <w:pPr>
              <w:pStyle w:val="Compact"/>
            </w:pPr>
            <w:r>
              <w:t xml:space="preserve">Escalation factor</w:t>
            </w:r>
          </w:p>
        </w:tc>
        <w:tc>
          <w:tcPr/>
          <w:p>
            <w:pPr>
              <w:pStyle w:val="Compact"/>
            </w:pPr>
            <w:r>
              <w:t xml:space="preserve">1.0 (none), 1.5 (once), 2.0 (multiple bounces)</w:t>
            </w:r>
          </w:p>
        </w:tc>
      </w:tr>
    </w:tbl>
    <w:bookmarkEnd w:id="17"/>
    <w:bookmarkStart w:id="18" w:name="baseline-data-month-3"/>
    <w:p>
      <w:pPr>
        <w:pStyle w:val="Heading3"/>
      </w:pPr>
      <w:r>
        <w:t xml:space="preserve">Baseline data (Month 3)</w:t>
      </w:r>
    </w:p>
    <w:p>
      <w:pPr>
        <w:pStyle w:val="Compact"/>
        <w:numPr>
          <w:ilvl w:val="0"/>
          <w:numId w:val="1002"/>
        </w:numPr>
      </w:pPr>
      <w:r>
        <w:t xml:space="preserve">355 total incidents, 240 signal (68%)</w:t>
      </w:r>
    </w:p>
    <w:p>
      <w:pPr>
        <w:pStyle w:val="Compact"/>
        <w:numPr>
          <w:ilvl w:val="0"/>
          <w:numId w:val="1002"/>
        </w:numPr>
      </w:pPr>
      <w:r>
        <w:t xml:space="preserve">Severity distribution: 88% Sev3, 1.4% Sev2, 0.3% Sev1</w:t>
      </w:r>
    </w:p>
    <w:p>
      <w:pPr>
        <w:pStyle w:val="Compact"/>
        <w:numPr>
          <w:ilvl w:val="0"/>
          <w:numId w:val="1002"/>
        </w:numPr>
      </w:pPr>
      <w:r>
        <w:t xml:space="preserve">Overall median time-to-mitigate: 28.8 hours</w:t>
      </w:r>
    </w:p>
    <w:p>
      <w:pPr>
        <w:pStyle w:val="Compact"/>
        <w:numPr>
          <w:ilvl w:val="0"/>
          <w:numId w:val="1002"/>
        </w:numPr>
      </w:pPr>
      <w:r>
        <w:t xml:space="preserve">Sev3 median time-to-mitigate: 29.1 hours</w:t>
      </w:r>
    </w:p>
    <w:p>
      <w:pPr>
        <w:pStyle w:val="FirstParagraph"/>
      </w:pPr>
      <w:r>
        <w:rPr>
          <w:b/>
          <w:bCs/>
        </w:rPr>
        <w:t xml:space="preserve">Finding: Sev3 incidents drive approximately 89% of total weighted benefit potential.</w:t>
      </w:r>
      <w:r>
        <w:t xml:space="preserve"> </w:t>
      </w:r>
      <w:r>
        <w:t xml:space="preserve">This confirms the inverse correlation between severity and documentation-addressability — the highest-severity incidents are almost always infrastructure failures where docs are irrelevant, while Sev3 incidents represent the recurring operational confusion where documentation helps most.</w:t>
      </w:r>
    </w:p>
    <w:bookmarkEnd w:id="18"/>
    <w:bookmarkStart w:id="19" w:name="time-to-mitigate-by-theme"/>
    <w:p>
      <w:pPr>
        <w:pStyle w:val="Heading3"/>
      </w:pPr>
      <w:r>
        <w:t xml:space="preserve">Time-to-mitigate by theme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t xml:space="preserve">Theme</w:t>
            </w:r>
          </w:p>
        </w:tc>
        <w:tc>
          <w:tcPr/>
          <w:p>
            <w:pPr>
              <w:pStyle w:val="Compact"/>
            </w:pPr>
            <w:r>
              <w:t xml:space="preserve">N</w:t>
            </w:r>
          </w:p>
        </w:tc>
        <w:tc>
          <w:tcPr/>
          <w:p>
            <w:pPr>
              <w:pStyle w:val="Compact"/>
            </w:pPr>
            <w:r>
              <w:t xml:space="preserve">Median TTM (hrs)</w:t>
            </w:r>
          </w:p>
        </w:tc>
        <w:tc>
          <w:tcPr/>
          <w:p>
            <w:pPr>
              <w:pStyle w:val="Compact"/>
            </w:pPr>
            <w:r>
              <w:t xml:space="preserve">Docs published?</w:t>
            </w:r>
          </w:p>
        </w:tc>
      </w:tr>
      <w:tr>
        <w:tc>
          <w:tcPr/>
          <w:p>
            <w:pPr>
              <w:pStyle w:val="Compact"/>
            </w:pPr>
            <w:r>
              <w:t xml:space="preserve">Approval Routing</w:t>
            </w:r>
          </w:p>
        </w:tc>
        <w:tc>
          <w:tcPr/>
          <w:p>
            <w:pPr>
              <w:pStyle w:val="Compact"/>
            </w:pPr>
            <w:r>
              <w:t xml:space="preserve">44</w:t>
            </w:r>
          </w:p>
        </w:tc>
        <w:tc>
          <w:tcPr/>
          <w:p>
            <w:pPr>
              <w:pStyle w:val="Compact"/>
            </w:pPr>
            <w:r>
              <w:t xml:space="preserve">114.6</w:t>
            </w:r>
          </w:p>
        </w:tc>
        <w:tc>
          <w:tcPr/>
          <w:p>
            <w:pPr>
              <w:pStyle w:val="Compact"/>
            </w:pPr>
            <w:r>
              <w:t xml:space="preserve">After Month 2</w:t>
            </w:r>
          </w:p>
        </w:tc>
      </w:tr>
      <w:tr>
        <w:tc>
          <w:tcPr/>
          <w:p>
            <w:pPr>
              <w:pStyle w:val="Compact"/>
            </w:pPr>
            <w:r>
              <w:t xml:space="preserve">Cloud Access</w:t>
            </w:r>
          </w:p>
        </w:tc>
        <w:tc>
          <w:tcPr/>
          <w:p>
            <w:pPr>
              <w:pStyle w:val="Compact"/>
            </w:pPr>
            <w:r>
              <w:t xml:space="preserve">38</w:t>
            </w:r>
          </w:p>
        </w:tc>
        <w:tc>
          <w:tcPr/>
          <w:p>
            <w:pPr>
              <w:pStyle w:val="Compact"/>
            </w:pPr>
            <w:r>
              <w:t xml:space="preserve">83.7</w:t>
            </w:r>
          </w:p>
        </w:tc>
        <w:tc>
          <w:tcPr/>
          <w:p>
            <w:pPr>
              <w:pStyle w:val="Compact"/>
            </w:pPr>
            <w:r>
              <w:t xml:space="preserve">After Month 1</w:t>
            </w:r>
          </w:p>
        </w:tc>
      </w:tr>
      <w:tr>
        <w:tc>
          <w:tcPr/>
          <w:p>
            <w:pPr>
              <w:pStyle w:val="Compact"/>
            </w:pPr>
            <w:r>
              <w:t xml:space="preserve">Account Provisioning</w:t>
            </w:r>
          </w:p>
        </w:tc>
        <w:tc>
          <w:tcPr/>
          <w:p>
            <w:pPr>
              <w:pStyle w:val="Compact"/>
            </w:pPr>
            <w:r>
              <w:t xml:space="preserve">8</w:t>
            </w:r>
          </w:p>
        </w:tc>
        <w:tc>
          <w:tcPr/>
          <w:p>
            <w:pPr>
              <w:pStyle w:val="Compact"/>
            </w:pPr>
            <w:r>
              <w:t xml:space="preserve">74.1</w:t>
            </w:r>
          </w:p>
        </w:tc>
        <w:tc>
          <w:tcPr/>
          <w:p>
            <w:pPr>
              <w:pStyle w:val="Compact"/>
            </w:pPr>
            <w:r>
              <w:t xml:space="preserve">After Month 1</w:t>
            </w:r>
          </w:p>
        </w:tc>
      </w:tr>
      <w:tr>
        <w:tc>
          <w:tcPr/>
          <w:p>
            <w:pPr>
              <w:pStyle w:val="Compact"/>
            </w:pPr>
            <w:r>
              <w:t xml:space="preserve">Auth Enrollment</w:t>
            </w:r>
          </w:p>
        </w:tc>
        <w:tc>
          <w:tcPr/>
          <w:p>
            <w:pPr>
              <w:pStyle w:val="Compact"/>
            </w:pPr>
            <w:r>
              <w:t xml:space="preserve">24</w:t>
            </w:r>
          </w:p>
        </w:tc>
        <w:tc>
          <w:tcPr/>
          <w:p>
            <w:pPr>
              <w:pStyle w:val="Compact"/>
            </w:pPr>
            <w:r>
              <w:t xml:space="preserve">23.1</w:t>
            </w:r>
          </w:p>
        </w:tc>
        <w:tc>
          <w:tcPr/>
          <w:p>
            <w:pPr>
              <w:pStyle w:val="Compact"/>
            </w:pPr>
            <w:r>
              <w:t xml:space="preserve">After Month 1</w:t>
            </w:r>
          </w:p>
        </w:tc>
      </w:tr>
      <w:tr>
        <w:tc>
          <w:tcPr/>
          <w:p>
            <w:pPr>
              <w:pStyle w:val="Compact"/>
            </w:pPr>
            <w:r>
              <w:t xml:space="preserve">Auth Sign-in</w:t>
            </w:r>
          </w:p>
        </w:tc>
        <w:tc>
          <w:tcPr/>
          <w:p>
            <w:pPr>
              <w:pStyle w:val="Compact"/>
            </w:pPr>
            <w:r>
              <w:t xml:space="preserve">18</w:t>
            </w:r>
          </w:p>
        </w:tc>
        <w:tc>
          <w:tcPr/>
          <w:p>
            <w:pPr>
              <w:pStyle w:val="Compact"/>
            </w:pPr>
            <w:r>
              <w:t xml:space="preserve">20.9</w:t>
            </w:r>
          </w:p>
        </w:tc>
        <w:tc>
          <w:tcPr/>
          <w:p>
            <w:pPr>
              <w:pStyle w:val="Compact"/>
            </w:pPr>
            <w:r>
              <w:t xml:space="preserve">After Month 1</w:t>
            </w:r>
          </w:p>
        </w:tc>
      </w:tr>
      <w:tr>
        <w:tc>
          <w:tcPr/>
          <w:p>
            <w:pPr>
              <w:pStyle w:val="Compact"/>
            </w:pPr>
            <w:r>
              <w:t xml:space="preserve">Resource Management</w:t>
            </w:r>
          </w:p>
        </w:tc>
        <w:tc>
          <w:tcPr/>
          <w:p>
            <w:pPr>
              <w:pStyle w:val="Compact"/>
            </w:pPr>
            <w:r>
              <w:t xml:space="preserve">13</w:t>
            </w:r>
          </w:p>
        </w:tc>
        <w:tc>
          <w:tcPr/>
          <w:p>
            <w:pPr>
              <w:pStyle w:val="Compact"/>
            </w:pPr>
            <w:r>
              <w:t xml:space="preserve">21.9</w:t>
            </w:r>
          </w:p>
        </w:tc>
        <w:tc>
          <w:tcPr/>
          <w:p>
            <w:pPr>
              <w:pStyle w:val="Compact"/>
            </w:pPr>
            <w:r>
              <w:t xml:space="preserve">No</w:t>
            </w:r>
          </w:p>
        </w:tc>
      </w:tr>
      <w:tr>
        <w:tc>
          <w:tcPr/>
          <w:p>
            <w:pPr>
              <w:pStyle w:val="Compact"/>
            </w:pPr>
            <w:r>
              <w:t xml:space="preserve">Client Compatibility</w:t>
            </w:r>
          </w:p>
        </w:tc>
        <w:tc>
          <w:tcPr/>
          <w:p>
            <w:pPr>
              <w:pStyle w:val="Compact"/>
            </w:pPr>
            <w:r>
              <w:t xml:space="preserve">5</w:t>
            </w:r>
          </w:p>
        </w:tc>
        <w:tc>
          <w:tcPr/>
          <w:p>
            <w:pPr>
              <w:pStyle w:val="Compact"/>
            </w:pPr>
            <w:r>
              <w:t xml:space="preserve">7.7</w:t>
            </w:r>
          </w:p>
        </w:tc>
        <w:tc>
          <w:tcPr/>
          <w:p>
            <w:pPr>
              <w:pStyle w:val="Compact"/>
            </w:pPr>
            <w:r>
              <w:t xml:space="preserve">After Month 1</w:t>
            </w:r>
          </w:p>
        </w:tc>
      </w:tr>
      <w:tr>
        <w:tc>
          <w:tcPr/>
          <w:p>
            <w:pPr>
              <w:pStyle w:val="Compact"/>
            </w:pPr>
            <w:r>
              <w:t xml:space="preserve">Certificate Rotation</w:t>
            </w:r>
          </w:p>
        </w:tc>
        <w:tc>
          <w:tcPr/>
          <w:p>
            <w:pPr>
              <w:pStyle w:val="Compact"/>
            </w:pPr>
            <w:r>
              <w:t xml:space="preserve">7</w:t>
            </w:r>
          </w:p>
        </w:tc>
        <w:tc>
          <w:tcPr/>
          <w:p>
            <w:pPr>
              <w:pStyle w:val="Compact"/>
            </w:pPr>
            <w:r>
              <w:t xml:space="preserve">6.2</w:t>
            </w:r>
          </w:p>
        </w:tc>
        <w:tc>
          <w:tcPr/>
          <w:p>
            <w:pPr>
              <w:pStyle w:val="Compact"/>
            </w:pPr>
            <w:r>
              <w:t xml:space="preserve">After Month 1</w:t>
            </w:r>
          </w:p>
        </w:tc>
      </w:tr>
    </w:tbl>
    <w:p>
      <w:pPr>
        <w:pStyle w:val="BodyText"/>
      </w:pPr>
      <w:r>
        <w:t xml:space="preserve">Approval Routing and Cloud Access represent the highest time-burden themes. This data establishes a baseline for future comparison — longitudinal TTM tracking requires preserving incident data across runs.</w:t>
      </w:r>
    </w:p>
    <w:p>
      <w:pPr>
        <w:jc w:val="center"/>
      </w:pPr>
      <w:r>
        <w:drawing>
          <wp:inline>
            <wp:extent cx="5029200" cy="2799505"/>
            <wp:docPr id="5" name="Picture 5"/>
            <wp:cNvGraphicFramePr>
              <a:graphicFrameLocks noChangeAspect="1"/>
            </wp:cNvGraphicFramePr>
            <a:graphic>
              <a:graphicData uri="http://schemas.openxmlformats.org/drawingml/2006/picture">
                <pic:pic>
                  <pic:nvPicPr>
                    <pic:cNvPr id="0" name="ttm_by_theme.png"/>
                    <pic:cNvPicPr/>
                  </pic:nvPicPr>
                  <pic:blipFill>
                    <a:blip r:embed="rId13"/>
                    <a:stretch>
                      <a:fillRect/>
                    </a:stretch>
                  </pic:blipFill>
                  <pic:spPr>
                    <a:xfrm>
                      <a:off x="0" y="0"/>
                      <a:ext cx="5029200" cy="2799505"/>
                    </a:xfrm>
                    <a:prstGeom prst="rect"/>
                  </pic:spPr>
                </pic:pic>
              </a:graphicData>
            </a:graphic>
          </wp:inline>
        </w:drawing>
      </w:r>
    </w:p>
    <w:p>
      <w:pPr>
        <w:jc w:val="center"/>
      </w:pPr>
      <w:r>
        <w:rPr>
          <w:i/>
          <w:color w:val="666666"/>
          <w:sz w:val="18"/>
        </w:rPr>
        <w:t>Figure 1: Median time-to-mitigate by theme. Blue = docs published; gray = no docs yet.</w:t>
      </w:r>
    </w:p>
    <w:p>
      <w:r>
        <w:pict>
          <v:rect style="width:0;height:1.5pt" o:hralign="center" o:hrstd="t" o:hr="t"/>
        </w:pict>
      </w:r>
    </w:p>
    <w:bookmarkEnd w:id="19"/>
    <w:bookmarkEnd w:id="20"/>
    <w:bookmarkStart w:id="23" w:name="evidence-of-impact"/>
    <w:p>
      <w:pPr>
        <w:pStyle w:val="Heading2"/>
      </w:pPr>
      <w:r>
        <w:t xml:space="preserve">Evidence of Impact</w:t>
      </w:r>
    </w:p>
    <w:bookmarkStart w:id="21" w:name="volume-trends-across-three-periods"/>
    <w:p>
      <w:pPr>
        <w:pStyle w:val="Heading3"/>
      </w:pPr>
      <w:r>
        <w:t xml:space="preserve">Volume trends across three periods</w:t>
      </w:r>
    </w:p>
    <w:p>
      <w:pPr>
        <w:pStyle w:val="FirstParagraph"/>
      </w:pPr>
      <w:r>
        <w:t xml:space="preserve">Four themes that received published documentation show monotonic volume decline: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84"/>
        <w:gridCol w:w="1584"/>
        <w:gridCol w:w="1584"/>
        <w:gridCol w:w="1584"/>
        <w:gridCol w:w="1584"/>
      </w:tblGrid>
      <w:tr>
        <w:trPr>
          <w:tblHeader w:val="on"/>
        </w:trPr>
        <w:tc>
          <w:tcPr/>
          <w:p>
            <w:pPr>
              <w:pStyle w:val="Compact"/>
            </w:pPr>
            <w:r>
              <w:t xml:space="preserve">Theme</w:t>
            </w:r>
          </w:p>
        </w:tc>
        <w:tc>
          <w:tcPr/>
          <w:p>
            <w:pPr>
              <w:pStyle w:val="Compact"/>
            </w:pPr>
            <w:r>
              <w:t xml:space="preserve">Month 1</w:t>
            </w:r>
          </w:p>
        </w:tc>
        <w:tc>
          <w:tcPr/>
          <w:p>
            <w:pPr>
              <w:pStyle w:val="Compact"/>
            </w:pPr>
            <w:r>
              <w:t xml:space="preserve">Month 2</w:t>
            </w:r>
          </w:p>
        </w:tc>
        <w:tc>
          <w:tcPr/>
          <w:p>
            <w:pPr>
              <w:pStyle w:val="Compact"/>
            </w:pPr>
            <w:r>
              <w:t xml:space="preserve">Month 3</w:t>
            </w:r>
          </w:p>
        </w:tc>
        <w:tc>
          <w:tcPr/>
          <w:p>
            <w:pPr>
              <w:pStyle w:val="Compact"/>
            </w:pPr>
            <w:r>
              <w:t xml:space="preserve">Total change</w:t>
            </w:r>
          </w:p>
        </w:tc>
      </w:tr>
      <w:tr>
        <w:tc>
          <w:tcPr/>
          <w:p>
            <w:pPr>
              <w:pStyle w:val="Compact"/>
            </w:pPr>
            <w:r>
              <w:t xml:space="preserve">Auth Sign-in</w:t>
            </w:r>
          </w:p>
        </w:tc>
        <w:tc>
          <w:tcPr/>
          <w:p>
            <w:pPr>
              <w:pStyle w:val="Compact"/>
            </w:pPr>
            <w:r>
              <w:t xml:space="preserve">24</w:t>
            </w:r>
          </w:p>
        </w:tc>
        <w:tc>
          <w:tcPr/>
          <w:p>
            <w:pPr>
              <w:pStyle w:val="Compact"/>
            </w:pPr>
            <w:r>
              <w:t xml:space="preserve">15</w:t>
            </w:r>
          </w:p>
        </w:tc>
        <w:tc>
          <w:tcPr/>
          <w:p>
            <w:pPr>
              <w:pStyle w:val="Compact"/>
            </w:pPr>
            <w:r>
              <w:t xml:space="preserve">3</w:t>
            </w:r>
          </w:p>
        </w:tc>
        <w:tc>
          <w:tcPr/>
          <w:p>
            <w:pPr>
              <w:pStyle w:val="Compact"/>
            </w:pPr>
            <w:r>
              <w:t xml:space="preserve">−87%</w:t>
            </w:r>
          </w:p>
        </w:tc>
      </w:tr>
      <w:tr>
        <w:tc>
          <w:tcPr/>
          <w:p>
            <w:pPr>
              <w:pStyle w:val="Compact"/>
            </w:pPr>
            <w:r>
              <w:t xml:space="preserve">Account Provisioning</w:t>
            </w:r>
          </w:p>
        </w:tc>
        <w:tc>
          <w:tcPr/>
          <w:p>
            <w:pPr>
              <w:pStyle w:val="Compact"/>
            </w:pPr>
            <w:r>
              <w:t xml:space="preserve">19</w:t>
            </w:r>
          </w:p>
        </w:tc>
        <w:tc>
          <w:tcPr/>
          <w:p>
            <w:pPr>
              <w:pStyle w:val="Compact"/>
            </w:pPr>
            <w:r>
              <w:t xml:space="preserve">17</w:t>
            </w:r>
          </w:p>
        </w:tc>
        <w:tc>
          <w:tcPr/>
          <w:p>
            <w:pPr>
              <w:pStyle w:val="Compact"/>
            </w:pPr>
            <w:r>
              <w:t xml:space="preserve">10</w:t>
            </w:r>
          </w:p>
        </w:tc>
        <w:tc>
          <w:tcPr/>
          <w:p>
            <w:pPr>
              <w:pStyle w:val="Compact"/>
            </w:pPr>
            <w:r>
              <w:t xml:space="preserve">−47%</w:t>
            </w:r>
          </w:p>
        </w:tc>
      </w:tr>
      <w:tr>
        <w:tc>
          <w:tcPr/>
          <w:p>
            <w:pPr>
              <w:pStyle w:val="Compact"/>
            </w:pPr>
            <w:r>
              <w:t xml:space="preserve">Cloud Access</w:t>
            </w:r>
          </w:p>
        </w:tc>
        <w:tc>
          <w:tcPr/>
          <w:p>
            <w:pPr>
              <w:pStyle w:val="Compact"/>
            </w:pPr>
            <w:r>
              <w:t xml:space="preserve">34</w:t>
            </w:r>
          </w:p>
        </w:tc>
        <w:tc>
          <w:tcPr/>
          <w:p>
            <w:pPr>
              <w:pStyle w:val="Compact"/>
            </w:pPr>
            <w:r>
              <w:t xml:space="preserve">26</w:t>
            </w:r>
          </w:p>
        </w:tc>
        <w:tc>
          <w:tcPr/>
          <w:p>
            <w:pPr>
              <w:pStyle w:val="Compact"/>
            </w:pPr>
            <w:r>
              <w:t xml:space="preserve">23</w:t>
            </w:r>
          </w:p>
        </w:tc>
        <w:tc>
          <w:tcPr/>
          <w:p>
            <w:pPr>
              <w:pStyle w:val="Compact"/>
            </w:pPr>
            <w:r>
              <w:t xml:space="preserve">−32%</w:t>
            </w:r>
          </w:p>
        </w:tc>
      </w:tr>
      <w:tr>
        <w:tc>
          <w:tcPr/>
          <w:p>
            <w:pPr>
              <w:pStyle w:val="Compact"/>
            </w:pPr>
            <w:r>
              <w:t xml:space="preserve">Parameter Procedures</w:t>
            </w:r>
          </w:p>
        </w:tc>
        <w:tc>
          <w:tcPr/>
          <w:p>
            <w:pPr>
              <w:pStyle w:val="Compact"/>
            </w:pPr>
            <w:r>
              <w:t xml:space="preserve">5</w:t>
            </w:r>
          </w:p>
        </w:tc>
        <w:tc>
          <w:tcPr/>
          <w:p>
            <w:pPr>
              <w:pStyle w:val="Compact"/>
            </w:pPr>
            <w:r>
              <w:t xml:space="preserve">1</w:t>
            </w:r>
          </w:p>
        </w:tc>
        <w:tc>
          <w:tcPr/>
          <w:p>
            <w:pPr>
              <w:pStyle w:val="Compact"/>
            </w:pPr>
            <w:r>
              <w:t xml:space="preserve">0</w:t>
            </w:r>
          </w:p>
        </w:tc>
        <w:tc>
          <w:tcPr/>
          <w:p>
            <w:pPr>
              <w:pStyle w:val="Compact"/>
            </w:pPr>
            <w:r>
              <w:t xml:space="preserve">−100%</w:t>
            </w:r>
          </w:p>
        </w:tc>
      </w:tr>
    </w:tbl>
    <w:p>
      <w:pPr>
        <w:pStyle w:val="BodyText"/>
      </w:pPr>
      <w:r>
        <w:t xml:space="preserve">Three treated themes showed volume increases, explained by known external events:</w:t>
      </w:r>
      <w:r>
        <w:t xml:space="preserve"> </w:t>
      </w:r>
      <w:r>
        <w:t xml:space="preserve">-</w:t>
      </w:r>
      <w:r>
        <w:t xml:space="preserve"> </w:t>
      </w:r>
      <w:r>
        <w:rPr>
          <w:b/>
          <w:bCs/>
        </w:rPr>
        <w:t xml:space="preserve">Auth Enrollment</w:t>
      </w:r>
      <w:r>
        <w:t xml:space="preserve"> </w:t>
      </w:r>
      <w:r>
        <w:t xml:space="preserve">(17→45→27): Hardware version rollout introduced new enrollment errors</w:t>
      </w:r>
      <w:r>
        <w:t xml:space="preserve"> </w:t>
      </w:r>
      <w:r>
        <w:t xml:space="preserve">-</w:t>
      </w:r>
      <w:r>
        <w:t xml:space="preserve"> </w:t>
      </w:r>
      <w:r>
        <w:rPr>
          <w:b/>
          <w:bCs/>
        </w:rPr>
        <w:t xml:space="preserve">Certificate Rotation</w:t>
      </w:r>
      <w:r>
        <w:t xml:space="preserve"> </w:t>
      </w:r>
      <w:r>
        <w:t xml:space="preserve">(11→31→25): Certificate authority expiry event</w:t>
      </w:r>
      <w:r>
        <w:t xml:space="preserve"> </w:t>
      </w:r>
      <w:r>
        <w:t xml:space="preserve">-</w:t>
      </w:r>
      <w:r>
        <w:t xml:space="preserve"> </w:t>
      </w:r>
      <w:r>
        <w:rPr>
          <w:b/>
          <w:bCs/>
        </w:rPr>
        <w:t xml:space="preserve">Remote Access</w:t>
      </w:r>
      <w:r>
        <w:t xml:space="preserve"> </w:t>
      </w:r>
      <w:r>
        <w:t xml:space="preserve">(—→17→27): New deployment wave (no docs published for this theme)</w:t>
      </w:r>
    </w:p>
    <w:p>
      <w:pPr>
        <w:pStyle w:val="BodyText"/>
      </w:pPr>
      <w:r>
        <w:rPr>
          <w:b/>
          <w:bCs/>
        </w:rPr>
        <w:t xml:space="preserve">Interpretation:</w:t>
      </w:r>
      <w:r>
        <w:t xml:space="preserve"> </w:t>
      </w:r>
      <w:r>
        <w:t xml:space="preserve">These trends are consistent with the hypothesis that published documentation reduces repeat incidents in affected themes. They are not causal proof — confounders such as engineering fixes, seasonal variation, and regression to the mean have not been controlled for. They justify continued measurement.</w:t>
      </w:r>
    </w:p>
    <w:p>
      <w:pPr>
        <w:jc w:val="center"/>
      </w:pPr>
      <w:r>
        <w:drawing>
          <wp:inline>
            <wp:extent cx="5486400" cy="2013482"/>
            <wp:docPr id="4" name="Picture 4"/>
            <wp:cNvGraphicFramePr>
              <a:graphicFrameLocks noChangeAspect="1"/>
            </wp:cNvGraphicFramePr>
            <a:graphic>
              <a:graphicData uri="http://schemas.openxmlformats.org/drawingml/2006/picture">
                <pic:pic>
                  <pic:nvPicPr>
                    <pic:cNvPr id="0" name="volume_trends.png"/>
                    <pic:cNvPicPr/>
                  </pic:nvPicPr>
                  <pic:blipFill>
                    <a:blip r:embed="rId12"/>
                    <a:stretch>
                      <a:fillRect/>
                    </a:stretch>
                  </pic:blipFill>
                  <pic:spPr>
                    <a:xfrm>
                      <a:off x="0" y="0"/>
                      <a:ext cx="5486400" cy="2013482"/>
                    </a:xfrm>
                    <a:prstGeom prst="rect"/>
                  </pic:spPr>
                </pic:pic>
              </a:graphicData>
            </a:graphic>
          </wp:inline>
        </w:drawing>
      </w:r>
    </w:p>
    <w:p>
      <w:pPr>
        <w:jc w:val="center"/>
      </w:pPr>
      <w:r>
        <w:rPr>
          <w:i/>
          <w:color w:val="666666"/>
          <w:sz w:val="18"/>
        </w:rPr>
        <w:t>Figure 2: Incident volume trends across three measurement periods. Themes with published docs generally declined, while increases are concentrated in themes affected by known external events. Trends are consistent with, but do not prove, documentation impact.</w:t>
      </w:r>
    </w:p>
    <w:bookmarkEnd w:id="21"/>
    <w:bookmarkStart w:id="22" w:name="X97532780082f9ebadaa040efde39f9569a2d67a"/>
    <w:p>
      <w:pPr>
        <w:pStyle w:val="Heading3"/>
      </w:pPr>
      <w:r>
        <w:t xml:space="preserve">Human-calibrated preventability assessment</w:t>
      </w:r>
    </w:p>
    <w:p>
      <w:pPr>
        <w:pStyle w:val="FirstParagraph"/>
      </w:pPr>
      <w:r>
        <w:t xml:space="preserve">A random sample of 18 incidents from treated themes was assessed by the agent operator against published documentation:</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w:t>
            </w:r>
          </w:p>
        </w:tc>
      </w:tr>
      <w:tr>
        <w:tc>
          <w:tcPr/>
          <w:p>
            <w:pPr>
              <w:pStyle w:val="Compact"/>
            </w:pPr>
            <w:r>
              <w:t xml:space="preserve">Engineering fix (docs irrelevant)</w:t>
            </w:r>
          </w:p>
        </w:tc>
        <w:tc>
          <w:tcPr/>
          <w:p>
            <w:pPr>
              <w:pStyle w:val="Compact"/>
            </w:pPr>
            <w:r>
              <w:t xml:space="preserve">9</w:t>
            </w:r>
          </w:p>
        </w:tc>
        <w:tc>
          <w:tcPr/>
          <w:p>
            <w:pPr>
              <w:pStyle w:val="Compact"/>
            </w:pPr>
            <w:r>
              <w:t xml:space="preserve">50%</w:t>
            </w:r>
          </w:p>
        </w:tc>
      </w:tr>
      <w:tr>
        <w:tc>
          <w:tcPr/>
          <w:p>
            <w:pPr>
              <w:pStyle w:val="Compact"/>
            </w:pPr>
            <w:r>
              <w:t xml:space="preserve">Docs already exist, user didn’t search</w:t>
            </w:r>
          </w:p>
        </w:tc>
        <w:tc>
          <w:tcPr/>
          <w:p>
            <w:pPr>
              <w:pStyle w:val="Compact"/>
            </w:pPr>
            <w:r>
              <w:t xml:space="preserve">4</w:t>
            </w:r>
          </w:p>
        </w:tc>
        <w:tc>
          <w:tcPr/>
          <w:p>
            <w:pPr>
              <w:pStyle w:val="Compact"/>
            </w:pPr>
            <w:r>
              <w:t xml:space="preserve">22%</w:t>
            </w:r>
          </w:p>
        </w:tc>
      </w:tr>
      <w:tr>
        <w:tc>
          <w:tcPr/>
          <w:p>
            <w:pPr>
              <w:pStyle w:val="Compact"/>
            </w:pPr>
            <w:r>
              <w:t xml:space="preserve">Doc would have helped (confirmed gap)</w:t>
            </w:r>
          </w:p>
        </w:tc>
        <w:tc>
          <w:tcPr/>
          <w:p>
            <w:pPr>
              <w:pStyle w:val="Compact"/>
            </w:pPr>
            <w:r>
              <w:t xml:space="preserve">2</w:t>
            </w:r>
          </w:p>
        </w:tc>
        <w:tc>
          <w:tcPr/>
          <w:p>
            <w:pPr>
              <w:pStyle w:val="Compact"/>
            </w:pPr>
            <w:r>
              <w:t xml:space="preserve">11%</w:t>
            </w:r>
          </w:p>
        </w:tc>
      </w:tr>
      <w:tr>
        <w:tc>
          <w:tcPr/>
          <w:p>
            <w:pPr>
              <w:pStyle w:val="Compact"/>
            </w:pPr>
            <w:r>
              <w:t xml:space="preserve">Unclear (insufficient detail)</w:t>
            </w:r>
          </w:p>
        </w:tc>
        <w:tc>
          <w:tcPr/>
          <w:p>
            <w:pPr>
              <w:pStyle w:val="Compact"/>
            </w:pPr>
            <w:r>
              <w:t xml:space="preserve">2</w:t>
            </w:r>
          </w:p>
        </w:tc>
        <w:tc>
          <w:tcPr/>
          <w:p>
            <w:pPr>
              <w:pStyle w:val="Compact"/>
            </w:pPr>
            <w:r>
              <w:t xml:space="preserve">11%</w:t>
            </w:r>
          </w:p>
        </w:tc>
      </w:tr>
      <w:tr>
        <w:tc>
          <w:tcPr/>
          <w:p>
            <w:pPr>
              <w:pStyle w:val="Compact"/>
            </w:pPr>
            <w:r>
              <w:t xml:space="preserve">Doc would’ve helped but code fix makes it moot</w:t>
            </w:r>
          </w:p>
        </w:tc>
        <w:tc>
          <w:tcPr/>
          <w:p>
            <w:pPr>
              <w:pStyle w:val="Compact"/>
            </w:pPr>
            <w:r>
              <w:t xml:space="preserve">1</w:t>
            </w:r>
          </w:p>
        </w:tc>
        <w:tc>
          <w:tcPr/>
          <w:p>
            <w:pPr>
              <w:pStyle w:val="Compact"/>
            </w:pPr>
            <w:r>
              <w:t xml:space="preserve">6%</w:t>
            </w:r>
          </w:p>
        </w:tc>
      </w:tr>
    </w:tbl>
    <w:p>
      <w:pPr>
        <w:pStyle w:val="BodyText"/>
      </w:pPr>
      <w:r>
        <w:rPr>
          <w:b/>
          <w:bCs/>
        </w:rPr>
        <w:t xml:space="preserve">Key findings:</w:t>
      </w:r>
      <w:r>
        <w:t xml:space="preserve"> </w:t>
      </w:r>
      <w:r>
        <w:t xml:space="preserve">- Approximately 11% of treated-theme incidents are confirmed documentation-addressable in this small sample.</w:t>
      </w:r>
      <w:r>
        <w:t xml:space="preserve"> </w:t>
      </w:r>
      <w:r>
        <w:t xml:space="preserve">- 22% of incidents had docs that would have helped — but the user did not search before filing. This is not addressable by writing more documentation.</w:t>
      </w:r>
      <w:r>
        <w:t xml:space="preserve"> </w:t>
      </w:r>
      <w:r>
        <w:t xml:space="preserve">- 50% required engineering fixes regardless of documentation quality.</w:t>
      </w:r>
    </w:p>
    <w:p>
      <w:pPr>
        <w:jc w:val="center"/>
      </w:pPr>
      <w:r>
        <w:drawing>
          <wp:inline>
            <wp:extent cx="5029200" cy="2466165"/>
            <wp:docPr id="3" name="Picture 3"/>
            <wp:cNvGraphicFramePr>
              <a:graphicFrameLocks noChangeAspect="1"/>
            </wp:cNvGraphicFramePr>
            <a:graphic>
              <a:graphicData uri="http://schemas.openxmlformats.org/drawingml/2006/picture">
                <pic:pic>
                  <pic:nvPicPr>
                    <pic:cNvPr id="0" name="preventability.png"/>
                    <pic:cNvPicPr/>
                  </pic:nvPicPr>
                  <pic:blipFill>
                    <a:blip r:embed="rId11"/>
                    <a:stretch>
                      <a:fillRect/>
                    </a:stretch>
                  </pic:blipFill>
                  <pic:spPr>
                    <a:xfrm>
                      <a:off x="0" y="0"/>
                      <a:ext cx="5029200" cy="2466165"/>
                    </a:xfrm>
                    <a:prstGeom prst="rect"/>
                  </pic:spPr>
                </pic:pic>
              </a:graphicData>
            </a:graphic>
          </wp:inline>
        </w:drawing>
      </w:r>
    </w:p>
    <w:p>
      <w:pPr>
        <w:jc w:val="center"/>
      </w:pPr>
      <w:r>
        <w:rPr>
          <w:i/>
          <w:color w:val="666666"/>
          <w:sz w:val="18"/>
        </w:rPr>
        <w:t>Figure 3: Human-calibrated preventability (n=18). Most incidents required engineering fixes, but a small doc-preventable share is sufficient to clear the low break-even threshold.</w:t>
      </w:r>
    </w:p>
    <w:p>
      <w:pPr>
        <w:pStyle w:val="BodyText"/>
      </w:pPr>
      <w:r>
        <w:rPr>
          <w:b/>
          <w:bCs/>
        </w:rPr>
        <w:t xml:space="preserve">Caveat:</w:t>
      </w:r>
      <w:r>
        <w:t xml:space="preserve"> </w:t>
      </w:r>
      <w:r>
        <w:t xml:space="preserve">This is a small-sample calibration (n=18), not a statistically robust estimate. It is used as a conservative directional input, not a precise conversion rate.</w:t>
      </w:r>
    </w:p>
    <w:p>
      <w:r>
        <w:pict>
          <v:rect style="width:0;height:1.5pt" o:hralign="center" o:hrstd="t" o:hr="t"/>
        </w:pict>
      </w:r>
    </w:p>
    <w:bookmarkEnd w:id="22"/>
    <w:bookmarkEnd w:id="23"/>
    <w:bookmarkStart w:id="30" w:name="break-even-analysis"/>
    <w:p>
      <w:pPr>
        <w:pStyle w:val="Heading2"/>
      </w:pPr>
      <w:r>
        <w:t xml:space="preserve">Break-Even Analysis</w:t>
      </w:r>
    </w:p>
    <w:bookmarkStart w:id="24" w:name="responder-time-per-incident"/>
    <w:p>
      <w:pPr>
        <w:pStyle w:val="Heading3"/>
      </w:pPr>
      <w:r>
        <w:t xml:space="preserve">Responder time per incident</w:t>
      </w:r>
    </w:p>
    <w:p>
      <w:pPr>
        <w:pStyle w:val="FirstParagraph"/>
      </w:pPr>
      <w:r>
        <w:t xml:space="preserve">Based on input from an experienced on-call engineer: handling time ranges from 30–60 minutes for simpler incidents to 3–4+ hours for complex ones. A planning assumption of ~3 hours per Sev3 incident is used, acknowledging high variance.</w:t>
      </w:r>
    </w:p>
    <w:bookmarkEnd w:id="24"/>
    <w:bookmarkStart w:id="25" w:name="calculation"/>
    <w:p>
      <w:pPr>
        <w:pStyle w:val="Heading3"/>
      </w:pPr>
      <w:r>
        <w:t xml:space="preserve">Calculation</w:t>
      </w:r>
    </w:p>
    <w:tbl>
      <w:tblPr>
        <w:tblStyle w:val="Table"/>
        <w:tblW w:type="pct" w:w="5000"/>
        <w:tblLayout w:type="fixed"/>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880"/>
      </w:tblGrid>
      <w:tr>
        <w:trPr>
          <w:tblHeader w:val="on"/>
        </w:trPr>
        <w:tc>
          <w:tcPr/>
          <w:p>
            <w:pPr>
              <w:pStyle w:val="Compact"/>
            </w:pPr>
            <w:r>
              <w:t xml:space="preserve">Input</w:t>
            </w:r>
          </w:p>
        </w:tc>
        <w:tc>
          <w:tcPr/>
          <w:p>
            <w:pPr>
              <w:pStyle w:val="Compact"/>
            </w:pPr>
            <w:r>
              <w:t xml:space="preserve">Value</w:t>
            </w:r>
          </w:p>
        </w:tc>
        <w:tc>
          <w:tcPr/>
          <w:p>
            <w:pPr>
              <w:pStyle w:val="Compact"/>
            </w:pPr>
            <w:r>
              <w:t xml:space="preserve">Source</w:t>
            </w:r>
          </w:p>
        </w:tc>
      </w:tr>
      <w:tr>
        <w:tc>
          <w:tcPr/>
          <w:p>
            <w:pPr>
              <w:pStyle w:val="Compact"/>
            </w:pPr>
            <w:r>
              <w:t xml:space="preserve">Signal incidents per month</w:t>
            </w:r>
          </w:p>
        </w:tc>
        <w:tc>
          <w:tcPr/>
          <w:p>
            <w:pPr>
              <w:pStyle w:val="Compact"/>
            </w:pPr>
            <w:r>
              <w:t xml:space="preserve">~240</w:t>
            </w:r>
          </w:p>
        </w:tc>
        <w:tc>
          <w:tcPr/>
          <w:p>
            <w:pPr>
              <w:pStyle w:val="Compact"/>
            </w:pPr>
            <w:r>
              <w:t xml:space="preserve">Month 3 run</w:t>
            </w:r>
          </w:p>
        </w:tc>
      </w:tr>
      <w:tr>
        <w:tc>
          <w:tcPr/>
          <w:p>
            <w:pPr>
              <w:pStyle w:val="Compact"/>
            </w:pPr>
            <w:r>
              <w:t xml:space="preserve">Incidents in treated themes</w:t>
            </w:r>
          </w:p>
        </w:tc>
        <w:tc>
          <w:tcPr/>
          <w:p>
            <w:pPr>
              <w:pStyle w:val="Compact"/>
            </w:pPr>
            <w:r>
              <w:t xml:space="preserve">~108</w:t>
            </w:r>
          </w:p>
        </w:tc>
        <w:tc>
          <w:tcPr/>
          <w:p>
            <w:pPr>
              <w:pStyle w:val="Compact"/>
            </w:pPr>
            <w:r>
              <w:t xml:space="preserve">Keyword classification</w:t>
            </w:r>
          </w:p>
        </w:tc>
      </w:tr>
      <w:tr>
        <w:tc>
          <w:tcPr/>
          <w:p>
            <w:pPr>
              <w:pStyle w:val="Compact"/>
            </w:pPr>
            <w:r>
              <w:t xml:space="preserve">Doc-addressable rate</w:t>
            </w:r>
          </w:p>
        </w:tc>
        <w:tc>
          <w:tcPr/>
          <w:p>
            <w:pPr>
              <w:pStyle w:val="Compact"/>
            </w:pPr>
            <w:r>
              <w:t xml:space="preserve">~11%</w:t>
            </w:r>
          </w:p>
        </w:tc>
        <w:tc>
          <w:tcPr/>
          <w:p>
            <w:pPr>
              <w:pStyle w:val="Compact"/>
            </w:pPr>
            <w:r>
              <w:t xml:space="preserve">Human-calibrated sample (n=18)</w:t>
            </w:r>
          </w:p>
        </w:tc>
      </w:tr>
      <w:tr>
        <w:tc>
          <w:tcPr/>
          <w:p>
            <w:pPr>
              <w:pStyle w:val="Compact"/>
            </w:pPr>
            <w:r>
              <w:t xml:space="preserve">Estimated addressable incidents</w:t>
            </w:r>
          </w:p>
        </w:tc>
        <w:tc>
          <w:tcPr/>
          <w:p>
            <w:pPr>
              <w:pStyle w:val="Compact"/>
            </w:pPr>
            <w:r>
              <w:t xml:space="preserve">~12</w:t>
            </w:r>
          </w:p>
        </w:tc>
        <w:tc>
          <w:tcPr/>
          <w:p>
            <w:pPr>
              <w:pStyle w:val="Compact"/>
            </w:pPr>
            <w:r>
              <w:t xml:space="preserve">108 × 11%</w:t>
            </w:r>
          </w:p>
        </w:tc>
      </w:tr>
      <w:tr>
        <w:tc>
          <w:tcPr/>
          <w:p>
            <w:pPr>
              <w:pStyle w:val="Compact"/>
            </w:pPr>
            <w:r>
              <w:t xml:space="preserve">Adoption discount</w:t>
            </w:r>
          </w:p>
        </w:tc>
        <w:tc>
          <w:tcPr/>
          <w:p>
            <w:pPr>
              <w:pStyle w:val="Compact"/>
            </w:pPr>
            <w:r>
              <w:t xml:space="preserve">50%</w:t>
            </w:r>
          </w:p>
        </w:tc>
        <w:tc>
          <w:tcPr/>
          <w:p>
            <w:pPr>
              <w:pStyle w:val="Compact"/>
            </w:pPr>
            <w:r>
              <w:t xml:space="preserve">Conservative estimate (users must find and read docs)</w:t>
            </w:r>
          </w:p>
        </w:tc>
      </w:tr>
      <w:tr>
        <w:tc>
          <w:tcPr/>
          <w:p>
            <w:pPr>
              <w:pStyle w:val="Compact"/>
            </w:pPr>
            <w:r>
              <w:t xml:space="preserve">Incidents plausibly prevented/shortened</w:t>
            </w:r>
          </w:p>
        </w:tc>
        <w:tc>
          <w:tcPr/>
          <w:p>
            <w:pPr>
              <w:pStyle w:val="Compact"/>
            </w:pPr>
            <w:r>
              <w:t xml:space="preserve">~6</w:t>
            </w:r>
          </w:p>
        </w:tc>
        <w:tc>
          <w:tcPr/>
          <w:p>
            <w:pPr>
              <w:pStyle w:val="Compact"/>
            </w:pPr>
            <w:r>
              <w:t xml:space="preserve">12 × 50%</w:t>
            </w:r>
          </w:p>
        </w:tc>
      </w:tr>
      <w:tr>
        <w:tc>
          <w:tcPr/>
          <w:p>
            <w:pPr>
              <w:pStyle w:val="Compact"/>
            </w:pPr>
            <w:r>
              <w:t xml:space="preserve">Responder time per incident</w:t>
            </w:r>
          </w:p>
        </w:tc>
        <w:tc>
          <w:tcPr/>
          <w:p>
            <w:pPr>
              <w:pStyle w:val="Compact"/>
            </w:pPr>
            <w:r>
              <w:t xml:space="preserve">~3 hrs</w:t>
            </w:r>
          </w:p>
        </w:tc>
        <w:tc>
          <w:tcPr/>
          <w:p>
            <w:pPr>
              <w:pStyle w:val="Compact"/>
            </w:pPr>
            <w:r>
              <w:t xml:space="preserve">On-call engineer estimate (high variance)</w:t>
            </w:r>
          </w:p>
        </w:tc>
      </w:tr>
      <w:tr>
        <w:tc>
          <w:tcPr/>
          <w:p>
            <w:pPr>
              <w:pStyle w:val="Compact"/>
            </w:pPr>
            <w:r>
              <w:rPr>
                <w:b/>
                <w:bCs/>
              </w:rPr>
              <w:t xml:space="preserve">Estimated responder hours recovered</w:t>
            </w:r>
          </w:p>
        </w:tc>
        <w:tc>
          <w:tcPr/>
          <w:p>
            <w:pPr>
              <w:pStyle w:val="Compact"/>
            </w:pPr>
            <w:r>
              <w:rPr>
                <w:b/>
                <w:bCs/>
              </w:rPr>
              <w:t xml:space="preserve">~18 hrs/month</w:t>
            </w:r>
          </w:p>
        </w:tc>
        <w:tc>
          <w:tcPr/>
          <w:p>
            <w:pPr>
              <w:pStyle w:val="Compact"/>
            </w:pPr>
            <w:r>
              <w:t xml:space="preserve">6 × 3</w:t>
            </w:r>
          </w:p>
        </w:tc>
      </w:tr>
      <w:tr>
        <w:tc>
          <w:tcPr/>
          <w:p>
            <w:pPr>
              <w:pStyle w:val="Compact"/>
            </w:pPr>
            <w:r>
              <w:rPr>
                <w:b/>
                <w:bCs/>
              </w:rPr>
              <w:t xml:space="preserve">Operating cost</w:t>
            </w:r>
          </w:p>
        </w:tc>
        <w:tc>
          <w:tcPr/>
          <w:p>
            <w:pPr>
              <w:pStyle w:val="Compact"/>
            </w:pPr>
            <w:r>
              <w:rPr>
                <w:b/>
                <w:bCs/>
              </w:rPr>
              <w:t xml:space="preserve">~3.5 hrs/month</w:t>
            </w:r>
          </w:p>
        </w:tc>
        <w:tc>
          <w:tcPr/>
          <w:p>
            <w:pPr>
              <w:pStyle w:val="Compact"/>
            </w:pPr>
            <w:r>
              <w:t xml:space="preserve">FTE time</w:t>
            </w:r>
          </w:p>
        </w:tc>
      </w:tr>
    </w:tbl>
    <w:bookmarkEnd w:id="25"/>
    <w:bookmarkStart w:id="26" w:name="break-even-threshold"/>
    <w:p>
      <w:pPr>
        <w:pStyle w:val="Heading3"/>
      </w:pPr>
      <w:r>
        <w:t xml:space="preserve">Break-even threshold</w:t>
      </w:r>
    </w:p>
    <w:p>
      <w:pPr>
        <w:pStyle w:val="FirstParagraph"/>
      </w:pPr>
      <w:r>
        <w:rPr>
          <w:b/>
          <w:bCs/>
        </w:rPr>
        <w:t xml:space="preserve">The program breaks even if documentation improvements prevent or materially shorten approximately 1–2 Sev3 incidents per month.</w:t>
      </w:r>
      <w:r>
        <w:t xml:space="preserve"> </w:t>
      </w:r>
      <w:r>
        <w:t xml:space="preserve">At 3 hours of responder time per incident, even a single prevented incident roughly equals the monthly operating cost.</w:t>
      </w:r>
    </w:p>
    <w:bookmarkEnd w:id="26"/>
    <w:bookmarkStart w:id="27" w:name="sensitivity"/>
    <w:p>
      <w:pPr>
        <w:pStyle w:val="Heading3"/>
      </w:pPr>
      <w:r>
        <w:t xml:space="preserve">Sensitivity</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t xml:space="preserve">Responder time assumption</w:t>
            </w:r>
          </w:p>
        </w:tc>
        <w:tc>
          <w:tcPr/>
          <w:p>
            <w:pPr>
              <w:pStyle w:val="Compact"/>
            </w:pPr>
            <w:r>
              <w:t xml:space="preserve">Incidents needed to break even</w:t>
            </w:r>
          </w:p>
        </w:tc>
      </w:tr>
      <w:tr>
        <w:tc>
          <w:tcPr/>
          <w:p>
            <w:pPr>
              <w:pStyle w:val="Compact"/>
            </w:pPr>
            <w:r>
              <w:t xml:space="preserve">1 hour/incident (low)</w:t>
            </w:r>
          </w:p>
        </w:tc>
        <w:tc>
          <w:tcPr/>
          <w:p>
            <w:pPr>
              <w:pStyle w:val="Compact"/>
            </w:pPr>
            <w:r>
              <w:t xml:space="preserve">3–4 incidents/month</w:t>
            </w:r>
          </w:p>
        </w:tc>
      </w:tr>
      <w:tr>
        <w:tc>
          <w:tcPr/>
          <w:p>
            <w:pPr>
              <w:pStyle w:val="Compact"/>
            </w:pPr>
            <w:r>
              <w:t xml:space="preserve">3 hours/incident (base)</w:t>
            </w:r>
          </w:p>
        </w:tc>
        <w:tc>
          <w:tcPr/>
          <w:p>
            <w:pPr>
              <w:pStyle w:val="Compact"/>
            </w:pPr>
            <w:r>
              <w:t xml:space="preserve">1–2 incidents/month</w:t>
            </w:r>
          </w:p>
        </w:tc>
      </w:tr>
      <w:tr>
        <w:tc>
          <w:tcPr/>
          <w:p>
            <w:pPr>
              <w:pStyle w:val="Compact"/>
            </w:pPr>
            <w:r>
              <w:t xml:space="preserve">4 hours/incident (high)</w:t>
            </w:r>
          </w:p>
        </w:tc>
        <w:tc>
          <w:tcPr/>
          <w:p>
            <w:pPr>
              <w:pStyle w:val="Compact"/>
            </w:pPr>
            <w:r>
              <w:t xml:space="preserve">1 incident/month</w:t>
            </w:r>
          </w:p>
        </w:tc>
      </w:tr>
    </w:tbl>
    <w:p>
      <w:pPr>
        <w:pStyle w:val="BodyText"/>
      </w:pPr>
      <w:r>
        <w:t xml:space="preserve">The break-even threshold is low enough that the program is viable even under pessimistic assumptions about per-incident handling time.</w:t>
      </w:r>
    </w:p>
    <w:p>
      <w:pPr>
        <w:jc w:val="center"/>
      </w:pPr>
      <w:r>
        <w:drawing>
          <wp:inline>
            <wp:extent cx="4572000" cy="2319227"/>
            <wp:docPr id="2" name="Picture 2"/>
            <wp:cNvGraphicFramePr>
              <a:graphicFrameLocks noChangeAspect="1"/>
            </wp:cNvGraphicFramePr>
            <a:graphic>
              <a:graphicData uri="http://schemas.openxmlformats.org/drawingml/2006/picture">
                <pic:pic>
                  <pic:nvPicPr>
                    <pic:cNvPr id="0" name="breakeven_sensitivity.png"/>
                    <pic:cNvPicPr/>
                  </pic:nvPicPr>
                  <pic:blipFill>
                    <a:blip r:embed="rId10"/>
                    <a:stretch>
                      <a:fillRect/>
                    </a:stretch>
                  </pic:blipFill>
                  <pic:spPr>
                    <a:xfrm>
                      <a:off x="0" y="0"/>
                      <a:ext cx="4572000" cy="2319227"/>
                    </a:xfrm>
                    <a:prstGeom prst="rect"/>
                  </pic:spPr>
                </pic:pic>
              </a:graphicData>
            </a:graphic>
          </wp:inline>
        </w:drawing>
      </w:r>
    </w:p>
    <w:p>
      <w:pPr>
        <w:jc w:val="center"/>
      </w:pPr>
      <w:r>
        <w:rPr>
          <w:i/>
          <w:color w:val="666666"/>
          <w:sz w:val="18"/>
        </w:rPr>
        <w:t>Figure 4: Break-even requires fewer than 2 incidents/month under baseline assumptions (3 hrs/incident). Green line shows estimated actual prevention rate (~6/month).</w:t>
      </w:r>
    </w:p>
    <w:bookmarkEnd w:id="27"/>
    <w:bookmarkStart w:id="28" w:name="are-we-hitting-it"/>
    <w:p>
      <w:pPr>
        <w:pStyle w:val="Heading3"/>
      </w:pPr>
      <w:r>
        <w:t xml:space="preserve">Are we hitting it?</w:t>
      </w:r>
    </w:p>
    <w:p>
      <w:pPr>
        <w:pStyle w:val="FirstParagraph"/>
      </w:pPr>
      <w:r>
        <w:t xml:space="preserve">Based on the data above:</w:t>
      </w:r>
      <w:r>
        <w:t xml:space="preserve"> </w:t>
      </w:r>
      <w:r>
        <w:rPr>
          <w:b/>
          <w:bCs/>
        </w:rPr>
        <w:t xml:space="preserve">yes, with reasonable confidence.</w:t>
      </w:r>
    </w:p>
    <w:p>
      <w:pPr>
        <w:pStyle w:val="BodyText"/>
      </w:pPr>
      <w:r>
        <w:t xml:space="preserve">The calculation estimates approximately 6 incidents per month plausibly prevented or materially shortened — 3–6× the break-even threshold of 1–2 incidents. That estimate rests on three inputs, each derived independently:</w:t>
      </w:r>
    </w:p>
    <w:p>
      <w:pPr>
        <w:numPr>
          <w:ilvl w:val="0"/>
          <w:numId w:val="1003"/>
        </w:numPr>
      </w:pPr>
      <w:r>
        <w:rPr>
          <w:b/>
          <w:bCs/>
        </w:rPr>
        <w:t xml:space="preserve">Volume decline in treated themes.</w:t>
      </w:r>
      <w:r>
        <w:t xml:space="preserve"> </w:t>
      </w:r>
      <w:r>
        <w:t xml:space="preserve">Four themes with published documentation show monotonic decline across three consecutive measurement periods, totaling 46 fewer incidents in Month 3 vs. Month 1 (82→36). Three themes that increased are explained by known external events (hardware version rollout, certificate expiry, new deployment wave).</w:t>
      </w:r>
    </w:p>
    <w:p>
      <w:pPr>
        <w:numPr>
          <w:ilvl w:val="0"/>
          <w:numId w:val="1003"/>
        </w:numPr>
      </w:pPr>
      <w:r>
        <w:rPr>
          <w:b/>
          <w:bCs/>
        </w:rPr>
        <w:t xml:space="preserve">Human-calibrated addressability rate.</w:t>
      </w:r>
      <w:r>
        <w:t xml:space="preserve"> </w:t>
      </w:r>
      <w:r>
        <w:t xml:space="preserve">A random 18-incident sample found 11% confirmed doc-addressable — conservative, since</w:t>
      </w:r>
      <w:r>
        <w:t xml:space="preserve"> </w:t>
      </w:r>
      <w:r>
        <w:t xml:space="preserve">“docs existed but user didn’t search”</w:t>
      </w:r>
      <w:r>
        <w:t xml:space="preserve"> </w:t>
      </w:r>
      <w:r>
        <w:t xml:space="preserve">(22%) may partially respond to improved discoverability.</w:t>
      </w:r>
    </w:p>
    <w:p>
      <w:pPr>
        <w:numPr>
          <w:ilvl w:val="0"/>
          <w:numId w:val="1003"/>
        </w:numPr>
      </w:pPr>
      <w:r>
        <w:rPr>
          <w:b/>
          <w:bCs/>
        </w:rPr>
        <w:t xml:space="preserve">Adoption discount.</w:t>
      </w:r>
      <w:r>
        <w:t xml:space="preserve"> </w:t>
      </w:r>
      <w:r>
        <w:t xml:space="preserve">The 50% discount (only half of addressable incidents are actually prevented) is deliberately pessimistic. Even so, the result (6/month) clears the break-even bar by a wide margin.</w:t>
      </w:r>
    </w:p>
    <w:p>
      <w:pPr>
        <w:pStyle w:val="FirstParagraph"/>
      </w:pPr>
      <w:r>
        <w:rPr>
          <w:b/>
          <w:bCs/>
        </w:rPr>
        <w:t xml:space="preserve">The margin matters.</w:t>
      </w:r>
      <w:r>
        <w:t xml:space="preserve"> </w:t>
      </w:r>
      <w:r>
        <w:t xml:space="preserve">Break-even requires just 1–2 prevented incidents per month. Even if the true prevention rate is half of the conservative estimate — 3 incidents instead of 6 — the program still exceeds break-even. The estimate would need to be wrong by more than 5× before the program fails to pay for itself.</w:t>
      </w:r>
    </w:p>
    <w:p>
      <w:pPr>
        <w:pStyle w:val="BodyText"/>
      </w:pPr>
      <w:r>
        <w:t xml:space="preserve">This is a directional assessment, not a proven measurement. The limitations noted below (small sample, uncontrolled confounders, no page-view telemetry) all apply. But the gap between estimated impact and break-even threshold is large enough that the conclusion holds under a wide range of assumptions.</w:t>
      </w:r>
    </w:p>
    <w:bookmarkEnd w:id="28"/>
    <w:bookmarkStart w:id="29" w:name="what-this-calculation-does-not-include"/>
    <w:p>
      <w:pPr>
        <w:pStyle w:val="Heading3"/>
      </w:pPr>
      <w:r>
        <w:t xml:space="preserve">What this calculation does not include</w:t>
      </w:r>
    </w:p>
    <w:p>
      <w:pPr>
        <w:pStyle w:val="Compact"/>
        <w:numPr>
          <w:ilvl w:val="0"/>
          <w:numId w:val="1004"/>
        </w:numPr>
      </w:pPr>
      <w:r>
        <w:t xml:space="preserve">Value of theme identification / operational intelligence</w:t>
      </w:r>
    </w:p>
    <w:p>
      <w:pPr>
        <w:pStyle w:val="Compact"/>
        <w:numPr>
          <w:ilvl w:val="0"/>
          <w:numId w:val="1004"/>
        </w:numPr>
      </w:pPr>
      <w:r>
        <w:t xml:space="preserve">Prevention from docs not yet published (only counts currently treated themes)</w:t>
      </w:r>
    </w:p>
    <w:p>
      <w:pPr>
        <w:pStyle w:val="Compact"/>
        <w:numPr>
          <w:ilvl w:val="0"/>
          <w:numId w:val="1004"/>
        </w:numPr>
      </w:pPr>
      <w:r>
        <w:t xml:space="preserve">Shortened resolution time for incidents still filed but resolved faster</w:t>
      </w:r>
    </w:p>
    <w:p>
      <w:pPr>
        <w:pStyle w:val="Compact"/>
        <w:numPr>
          <w:ilvl w:val="0"/>
          <w:numId w:val="1004"/>
        </w:numPr>
      </w:pPr>
      <w:r>
        <w:t xml:space="preserve">Reduced escalation and team-bouncing</w:t>
      </w:r>
    </w:p>
    <w:p>
      <w:pPr>
        <w:pStyle w:val="Compact"/>
        <w:numPr>
          <w:ilvl w:val="0"/>
          <w:numId w:val="1004"/>
        </w:numPr>
      </w:pPr>
      <w:r>
        <w:t xml:space="preserve">Filer’s own time saved (only responder time counted)</w:t>
      </w:r>
    </w:p>
    <w:p>
      <w:r>
        <w:pict>
          <v:rect style="width:0;height:1.5pt" o:hralign="center" o:hrstd="t" o:hr="t"/>
        </w:pict>
      </w:r>
    </w:p>
    <w:bookmarkEnd w:id="29"/>
    <w:bookmarkEnd w:id="30"/>
    <w:bookmarkStart w:id="36" w:name="limitations-and-known-weaknesses"/>
    <w:p>
      <w:pPr>
        <w:pStyle w:val="Heading2"/>
      </w:pPr>
      <w:r>
        <w:t xml:space="preserve">Limitations and Known Weaknesses</w:t>
      </w:r>
    </w:p>
    <w:bookmarkStart w:id="31" w:name="self-referentiality"/>
    <w:p>
      <w:pPr>
        <w:pStyle w:val="Heading3"/>
      </w:pPr>
      <w:r>
        <w:t xml:space="preserve">Self-referentiality</w:t>
      </w:r>
    </w:p>
    <w:p>
      <w:pPr>
        <w:pStyle w:val="FirstParagraph"/>
      </w:pPr>
      <w:r>
        <w:t xml:space="preserve">The agent identifies gaps, estimates preventability, drafts fixes, and validates them. Reported benefit potential is partly a function of the agent’s own judgments. Human calibration (this analysis) provides an independent check, but some circularity is irreducible.</w:t>
      </w:r>
    </w:p>
    <w:bookmarkEnd w:id="31"/>
    <w:bookmarkStart w:id="32" w:name="publication-does-not-equal-impact"/>
    <w:p>
      <w:pPr>
        <w:pStyle w:val="Heading3"/>
      </w:pPr>
      <w:r>
        <w:t xml:space="preserve">Publication does not equal impact</w:t>
      </w:r>
    </w:p>
    <w:p>
      <w:pPr>
        <w:pStyle w:val="FirstParagraph"/>
      </w:pPr>
      <w:r>
        <w:t xml:space="preserve">A published document only creates value if the right person finds and trusts it at the right moment. We do not currently have access to documentation site page-view telemetry and cannot directly measure whether published docs are being read.</w:t>
      </w:r>
    </w:p>
    <w:bookmarkEnd w:id="32"/>
    <w:bookmarkStart w:id="33" w:name="X109d1cdd2b45386750594b9073c6f477e2a9b20"/>
    <w:p>
      <w:pPr>
        <w:pStyle w:val="Heading3"/>
      </w:pPr>
      <w:r>
        <w:t xml:space="preserve">“User didn’t search”</w:t>
      </w:r>
      <w:r>
        <w:t xml:space="preserve"> </w:t>
      </w:r>
      <w:r>
        <w:t xml:space="preserve">is not fixable by documentation</w:t>
      </w:r>
    </w:p>
    <w:p>
      <w:pPr>
        <w:pStyle w:val="FirstParagraph"/>
      </w:pPr>
      <w:r>
        <w:t xml:space="preserve">22% of sampled incidents fell into a category where relevant documentation existed and was findable, but the user simply did not attempt self-service before filing. No amount of additional documentation addresses this behavior.</w:t>
      </w:r>
    </w:p>
    <w:bookmarkEnd w:id="33"/>
    <w:bookmarkStart w:id="34" w:name="limited-data-history"/>
    <w:p>
      <w:pPr>
        <w:pStyle w:val="Heading3"/>
      </w:pPr>
      <w:r>
        <w:t xml:space="preserve">Limited data history</w:t>
      </w:r>
    </w:p>
    <w:p>
      <w:pPr>
        <w:pStyle w:val="FirstParagraph"/>
      </w:pPr>
      <w:r>
        <w:t xml:space="preserve">Three months of run data provides directional signals only. Statistical confidence in volume-reduction claims requires 9–12+ months of consistent measurement with stable taxonomy.</w:t>
      </w:r>
    </w:p>
    <w:bookmarkEnd w:id="34"/>
    <w:bookmarkStart w:id="35" w:name="single-respondent-time-estimate"/>
    <w:p>
      <w:pPr>
        <w:pStyle w:val="Heading3"/>
      </w:pPr>
      <w:r>
        <w:t xml:space="preserve">Single-respondent time estimate</w:t>
      </w:r>
    </w:p>
    <w:p>
      <w:pPr>
        <w:pStyle w:val="FirstParagraph"/>
      </w:pPr>
      <w:r>
        <w:t xml:space="preserve">The 3-hour planning assumption comes from one on-call engineer. It is plausible and consistent with the median TTM data (29 hours includes wait time, not just active work), but has not been validated across multiple respondents.</w:t>
      </w:r>
    </w:p>
    <w:p>
      <w:r>
        <w:pict>
          <v:rect style="width:0;height:1.5pt" o:hralign="center" o:hrstd="t" o:hr="t"/>
        </w:pict>
      </w:r>
    </w:p>
    <w:bookmarkEnd w:id="35"/>
    <w:bookmarkEnd w:id="36"/>
    <w:bookmarkStart w:id="37" w:name="what-would-disprove-this"/>
    <w:p>
      <w:pPr>
        <w:pStyle w:val="Heading2"/>
      </w:pPr>
      <w:r>
        <w:t xml:space="preserve">What Would Disprove This</w:t>
      </w:r>
    </w:p>
    <w:p>
      <w:pPr>
        <w:pStyle w:val="FirstParagraph"/>
      </w:pPr>
      <w:r>
        <w:t xml:space="preserve">The following observations would indicate the program is not delivering value:</w:t>
      </w:r>
    </w:p>
    <w:p>
      <w:pPr>
        <w:pStyle w:val="Compact"/>
        <w:numPr>
          <w:ilvl w:val="0"/>
          <w:numId w:val="1005"/>
        </w:numPr>
      </w:pPr>
      <w:r>
        <w:t xml:space="preserve">Treated themes show no volume decline after 6+ months of published documentation</w:t>
      </w:r>
    </w:p>
    <w:p>
      <w:pPr>
        <w:pStyle w:val="Compact"/>
        <w:numPr>
          <w:ilvl w:val="0"/>
          <w:numId w:val="1005"/>
        </w:numPr>
      </w:pPr>
      <w:r>
        <w:t xml:space="preserve">Human-calibrated doc-addressability rate drops below 5% with a larger sample</w:t>
      </w:r>
    </w:p>
    <w:p>
      <w:pPr>
        <w:pStyle w:val="Compact"/>
        <w:numPr>
          <w:ilvl w:val="0"/>
          <w:numId w:val="1005"/>
        </w:numPr>
      </w:pPr>
      <w:r>
        <w:t xml:space="preserve">Published docs receive zero or near-zero page views</w:t>
      </w:r>
    </w:p>
    <w:p>
      <w:pPr>
        <w:pStyle w:val="Compact"/>
        <w:numPr>
          <w:ilvl w:val="0"/>
          <w:numId w:val="1005"/>
        </w:numPr>
      </w:pPr>
      <w:r>
        <w:t xml:space="preserve">Responders report that published docs do not help with incoming incidents</w:t>
      </w:r>
    </w:p>
    <w:p>
      <w:pPr>
        <w:pStyle w:val="Compact"/>
        <w:numPr>
          <w:ilvl w:val="0"/>
          <w:numId w:val="1005"/>
        </w:numPr>
      </w:pPr>
      <w:r>
        <w:t xml:space="preserve">Resolution time for treated themes does not decrease relative to untreated themes</w:t>
      </w:r>
    </w:p>
    <w:p>
      <w:pPr>
        <w:pStyle w:val="FirstParagraph"/>
      </w:pPr>
      <w:r>
        <w:t xml:space="preserve">Continued measurement across these dimensions will either strengthen or invalidate the current directional findings.</w:t>
      </w:r>
    </w:p>
    <w:p>
      <w:r>
        <w:pict>
          <v:rect style="width:0;height:1.5pt" o:hralign="center" o:hrstd="t" o:hr="t"/>
        </w:pict>
      </w:r>
    </w:p>
    <w:bookmarkEnd w:id="37"/>
    <w:bookmarkStart w:id="38" w:name="future-measurement-opportunities"/>
    <w:p>
      <w:pPr>
        <w:pStyle w:val="Heading2"/>
      </w:pPr>
      <w:r>
        <w:t xml:space="preserve">Future Measurement Opportunities</w:t>
      </w:r>
    </w:p>
    <w:tbl>
      <w:tblPr>
        <w:tblStyle w:val="Table"/>
        <w:tblW w:type="pct" w:w="5000"/>
        <w:tblLayout w:type="fixed"/>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3120"/>
        <w:gridCol w:w="2400"/>
      </w:tblGrid>
      <w:tr>
        <w:trPr>
          <w:tblHeader w:val="on"/>
        </w:trPr>
        <w:tc>
          <w:tcPr/>
          <w:p>
            <w:pPr>
              <w:pStyle w:val="Compact"/>
            </w:pPr>
            <w:r>
              <w:t xml:space="preserve">Approach</w:t>
            </w:r>
          </w:p>
        </w:tc>
        <w:tc>
          <w:tcPr/>
          <w:p>
            <w:pPr>
              <w:pStyle w:val="Compact"/>
            </w:pPr>
            <w:r>
              <w:t xml:space="preserve">Data needed</w:t>
            </w:r>
          </w:p>
        </w:tc>
        <w:tc>
          <w:tcPr/>
          <w:p>
            <w:pPr>
              <w:pStyle w:val="Compact"/>
            </w:pPr>
            <w:r>
              <w:t xml:space="preserve">Timeline</w:t>
            </w:r>
          </w:p>
        </w:tc>
      </w:tr>
      <w:tr>
        <w:tc>
          <w:tcPr/>
          <w:p>
            <w:pPr>
              <w:pStyle w:val="Compact"/>
            </w:pPr>
            <w:r>
              <w:t xml:space="preserve">Page-view telemetry</w:t>
            </w:r>
          </w:p>
        </w:tc>
        <w:tc>
          <w:tcPr/>
          <w:p>
            <w:pPr>
              <w:pStyle w:val="Compact"/>
            </w:pPr>
            <w:r>
              <w:t xml:space="preserve">Access to documentation site analytics</w:t>
            </w:r>
          </w:p>
        </w:tc>
        <w:tc>
          <w:tcPr/>
          <w:p>
            <w:pPr>
              <w:pStyle w:val="Compact"/>
            </w:pPr>
            <w:r>
              <w:t xml:space="preserve">Requires platform team support</w:t>
            </w:r>
          </w:p>
        </w:tc>
      </w:tr>
      <w:tr>
        <w:tc>
          <w:tcPr/>
          <w:p>
            <w:pPr>
              <w:pStyle w:val="Compact"/>
            </w:pPr>
            <w:r>
              <w:t xml:space="preserve">Longitudinal volume tracking</w:t>
            </w:r>
          </w:p>
        </w:tc>
        <w:tc>
          <w:tcPr/>
          <w:p>
            <w:pPr>
              <w:pStyle w:val="Compact"/>
            </w:pPr>
            <w:r>
              <w:t xml:space="preserve">9–12 months of stable-taxonomy runs</w:t>
            </w:r>
          </w:p>
        </w:tc>
        <w:tc>
          <w:tcPr/>
          <w:p>
            <w:pPr>
              <w:pStyle w:val="Compact"/>
            </w:pPr>
            <w:r>
              <w:t xml:space="preserve">Achievable within 1 year</w:t>
            </w:r>
          </w:p>
        </w:tc>
      </w:tr>
      <w:tr>
        <w:tc>
          <w:tcPr/>
          <w:p>
            <w:pPr>
              <w:pStyle w:val="Compact"/>
            </w:pPr>
            <w:r>
              <w:t xml:space="preserve">Resolution-time before/after</w:t>
            </w:r>
          </w:p>
        </w:tc>
        <w:tc>
          <w:tcPr/>
          <w:p>
            <w:pPr>
              <w:pStyle w:val="Compact"/>
            </w:pPr>
            <w:r>
              <w:t xml:space="preserve">Incident data preserved across all runs</w:t>
            </w:r>
          </w:p>
        </w:tc>
        <w:tc>
          <w:tcPr/>
          <w:p>
            <w:pPr>
              <w:pStyle w:val="Compact"/>
            </w:pPr>
            <w:r>
              <w:t xml:space="preserve">Next run onward</w:t>
            </w:r>
          </w:p>
        </w:tc>
      </w:tr>
      <w:tr>
        <w:tc>
          <w:tcPr/>
          <w:p>
            <w:pPr>
              <w:pStyle w:val="Compact"/>
            </w:pPr>
            <w:r>
              <w:t xml:space="preserve">Larger human-calibrated sample</w:t>
            </w:r>
          </w:p>
        </w:tc>
        <w:tc>
          <w:tcPr/>
          <w:p>
            <w:pPr>
              <w:pStyle w:val="Compact"/>
            </w:pPr>
            <w:r>
              <w:t xml:space="preserve">50–100 incidents assessed</w:t>
            </w:r>
          </w:p>
        </w:tc>
        <w:tc>
          <w:tcPr/>
          <w:p>
            <w:pPr>
              <w:pStyle w:val="Compact"/>
            </w:pPr>
            <w:r>
              <w:t xml:space="preserve">2–3 additional runs</w:t>
            </w:r>
          </w:p>
        </w:tc>
      </w:tr>
      <w:tr>
        <w:tc>
          <w:tcPr/>
          <w:p>
            <w:pPr>
              <w:pStyle w:val="Compact"/>
            </w:pPr>
            <w:r>
              <w:t xml:space="preserve">Responder survey</w:t>
            </w:r>
          </w:p>
        </w:tc>
        <w:tc>
          <w:tcPr/>
          <w:p>
            <w:pPr>
              <w:pStyle w:val="Compact"/>
            </w:pPr>
            <w:r>
              <w:t xml:space="preserve">Multi-respondent time estimates</w:t>
            </w:r>
          </w:p>
        </w:tc>
        <w:tc>
          <w:tcPr/>
          <w:p>
            <w:pPr>
              <w:pStyle w:val="Compact"/>
            </w:pPr>
            <w:r>
              <w:t xml:space="preserve">Ad hoc</w:t>
            </w:r>
          </w:p>
        </w:tc>
      </w:tr>
      <w:tr>
        <w:tc>
          <w:tcPr/>
          <w:p>
            <w:pPr>
              <w:pStyle w:val="Compact"/>
            </w:pPr>
            <w:r>
              <w:t xml:space="preserve">Incident closure tagging</w:t>
            </w:r>
          </w:p>
        </w:tc>
        <w:tc>
          <w:tcPr/>
          <w:p>
            <w:pPr>
              <w:pStyle w:val="Compact"/>
            </w:pPr>
            <w:r>
              <w:t xml:space="preserve">“Doc used”</w:t>
            </w:r>
            <w:r>
              <w:t xml:space="preserve"> </w:t>
            </w:r>
            <w:r>
              <w:t xml:space="preserve">/</w:t>
            </w:r>
            <w:r>
              <w:t xml:space="preserve"> </w:t>
            </w:r>
            <w:r>
              <w:t xml:space="preserve">“doc missing”</w:t>
            </w:r>
            <w:r>
              <w:t xml:space="preserve"> </w:t>
            </w:r>
            <w:r>
              <w:t xml:space="preserve">field</w:t>
            </w:r>
          </w:p>
        </w:tc>
        <w:tc>
          <w:tcPr/>
          <w:p>
            <w:pPr>
              <w:pStyle w:val="Compact"/>
            </w:pPr>
            <w:r>
              <w:t xml:space="preserve">Requires process change</w:t>
            </w:r>
          </w:p>
        </w:tc>
      </w:tr>
    </w:tbl>
    <w:p>
      <w:r>
        <w:pict>
          <v:rect style="width:0;height:1.5pt" o:hralign="center" o:hrstd="t" o:hr="t"/>
        </w:pict>
      </w:r>
    </w:p>
    <w:bookmarkEnd w:id="38"/>
    <w:bookmarkStart w:id="43" w:name="appendix-token-cost-analysis"/>
    <w:p>
      <w:pPr>
        <w:pStyle w:val="Heading2"/>
      </w:pPr>
      <w:r>
        <w:t xml:space="preserve">Appendix: Token Cost Analysis</w:t>
      </w:r>
    </w:p>
    <w:bookmarkStart w:id="39" w:name="estimated-consumption-per-run"/>
    <w:p>
      <w:pPr>
        <w:pStyle w:val="Heading3"/>
      </w:pPr>
      <w:r>
        <w:t xml:space="preserve">Estimated consumption per run</w:t>
      </w:r>
    </w:p>
    <w:tbl>
      <w:tblPr>
        <w:tblStyle w:val="Table"/>
        <w:tblW w:type="pct" w:w="5000"/>
        <w:tblLayout w:type="fixed"/>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11"/>
        <w:gridCol w:w="4808"/>
      </w:tblGrid>
      <w:tr>
        <w:trPr>
          <w:tblHeader w:val="on"/>
        </w:trPr>
        <w:tc>
          <w:tcPr/>
          <w:p>
            <w:pPr>
              <w:pStyle w:val="Compact"/>
            </w:pPr>
            <w:r>
              <w:t xml:space="preserve">Component</w:t>
            </w:r>
          </w:p>
        </w:tc>
        <w:tc>
          <w:tcPr/>
          <w:p>
            <w:pPr>
              <w:pStyle w:val="Compact"/>
            </w:pPr>
            <w:r>
              <w:t xml:space="preserve">Effective tokens</w:t>
            </w:r>
          </w:p>
        </w:tc>
      </w:tr>
      <w:tr>
        <w:tc>
          <w:tcPr/>
          <w:p>
            <w:pPr>
              <w:pStyle w:val="Compact"/>
            </w:pPr>
            <w:r>
              <w:t xml:space="preserve">Analysis workflow (evaluators, validators, classification)</w:t>
            </w:r>
          </w:p>
        </w:tc>
        <w:tc>
          <w:tcPr/>
          <w:p>
            <w:pPr>
              <w:pStyle w:val="Compact"/>
            </w:pPr>
            <w:r>
              <w:t xml:space="preserve">~2,186,000 input</w:t>
            </w:r>
          </w:p>
        </w:tc>
      </w:tr>
      <w:tr>
        <w:tc>
          <w:tcPr/>
          <w:p>
            <w:pPr>
              <w:pStyle w:val="Compact"/>
            </w:pPr>
            <w:r>
              <w:t xml:space="preserve">Output generation (drafts, report, validation)</w:t>
            </w:r>
          </w:p>
        </w:tc>
        <w:tc>
          <w:tcPr/>
          <w:p>
            <w:pPr>
              <w:pStyle w:val="Compact"/>
            </w:pPr>
            <w:r>
              <w:t xml:space="preserve">~375,000 output</w:t>
            </w:r>
          </w:p>
        </w:tc>
      </w:tr>
      <w:tr>
        <w:tc>
          <w:tcPr/>
          <w:p>
            <w:pPr>
              <w:pStyle w:val="Compact"/>
            </w:pPr>
            <w:r>
              <w:rPr>
                <w:b/>
                <w:bCs/>
              </w:rPr>
              <w:t xml:space="preserve">Total effective tokens per run</w:t>
            </w:r>
          </w:p>
        </w:tc>
        <w:tc>
          <w:tcPr/>
          <w:p>
            <w:pPr>
              <w:pStyle w:val="Compact"/>
            </w:pPr>
            <w:r>
              <w:rPr>
                <w:b/>
                <w:bCs/>
              </w:rPr>
              <w:t xml:space="preserve">~2,561,000</w:t>
            </w:r>
          </w:p>
        </w:tc>
      </w:tr>
    </w:tbl>
    <w:p>
      <w:pPr>
        <w:pStyle w:val="BodyText"/>
      </w:pPr>
      <w:r>
        <w:t xml:space="preserve">The largest cost driver is the evaluator agents (3 per signal incident × ~200 incidents), comprising approximately 65% of the analysis workflow.</w:t>
      </w:r>
    </w:p>
    <w:bookmarkEnd w:id="39"/>
    <w:bookmarkStart w:id="40" w:name="market-vs.-production-cost"/>
    <w:p>
      <w:pPr>
        <w:pStyle w:val="Heading3"/>
      </w:pPr>
      <w:r>
        <w:t xml:space="preserve">Market vs. production cost</w:t>
      </w:r>
    </w:p>
    <w:p>
      <w:pPr>
        <w:pStyle w:val="FirstParagraph"/>
      </w:pPr>
      <w:r>
        <w:t xml:space="preserve">Token pricing from AI providers reflects strategic decisions (platform lock-in incentives, demand smoothing, margin) rather than pure production cost. Current market rates are likely subsidized to promote adoption.</w:t>
      </w:r>
    </w:p>
    <w:bookmarkEnd w:id="40"/>
    <w:bookmarkStart w:id="41" w:name="break-even-at-various-token-cost-levels"/>
    <w:p>
      <w:pPr>
        <w:pStyle w:val="Heading3"/>
      </w:pPr>
      <w:r>
        <w:t xml:space="preserve">Break-even at various token cost levels</w:t>
      </w:r>
    </w:p>
    <w:p>
      <w:pPr>
        <w:pStyle w:val="FirstParagraph"/>
      </w:pPr>
      <w:r>
        <w:t xml:space="preserve">The relevant question is: what happens if token costs rise significantly as subsidies are removed?</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t xml:space="preserve">Assumed $/M tokens</w:t>
            </w:r>
          </w:p>
        </w:tc>
        <w:tc>
          <w:tcPr/>
          <w:p>
            <w:pPr>
              <w:pStyle w:val="Compact"/>
            </w:pPr>
            <w:r>
              <w:t xml:space="preserve">Monthly token cost</w:t>
            </w:r>
          </w:p>
        </w:tc>
        <w:tc>
          <w:tcPr/>
          <w:p>
            <w:pPr>
              <w:pStyle w:val="Compact"/>
            </w:pPr>
            <w:r>
              <w:t xml:space="preserve">Context</w:t>
            </w:r>
          </w:p>
        </w:tc>
      </w:tr>
      <w:tr>
        <w:tc>
          <w:tcPr/>
          <w:p>
            <w:pPr>
              <w:pStyle w:val="Compact"/>
            </w:pPr>
            <w:r>
              <w:t xml:space="preserve">$3.00 (current market, Sonnet-class)</w:t>
            </w:r>
          </w:p>
        </w:tc>
        <w:tc>
          <w:tcPr/>
          <w:p>
            <w:pPr>
              <w:pStyle w:val="Compact"/>
            </w:pPr>
            <w:r>
              <w:t xml:space="preserve">$7.68</w:t>
            </w:r>
          </w:p>
        </w:tc>
        <w:tc>
          <w:tcPr/>
          <w:p>
            <w:pPr>
              <w:pStyle w:val="Compact"/>
            </w:pPr>
            <w:r>
              <w:t xml:space="preserve">Likely subsidized</w:t>
            </w:r>
          </w:p>
        </w:tc>
      </w:tr>
      <w:tr>
        <w:tc>
          <w:tcPr/>
          <w:p>
            <w:pPr>
              <w:pStyle w:val="Compact"/>
            </w:pPr>
            <w:r>
              <w:t xml:space="preserve">$10.00</w:t>
            </w:r>
          </w:p>
        </w:tc>
        <w:tc>
          <w:tcPr/>
          <w:p>
            <w:pPr>
              <w:pStyle w:val="Compact"/>
            </w:pPr>
            <w:r>
              <w:t xml:space="preserve">$25.61</w:t>
            </w:r>
          </w:p>
        </w:tc>
        <w:tc>
          <w:tcPr/>
          <w:p>
            <w:pPr>
              <w:pStyle w:val="Compact"/>
            </w:pPr>
            <w:r>
              <w:t xml:space="preserve">Post-subsidy pricing</w:t>
            </w:r>
          </w:p>
        </w:tc>
      </w:tr>
      <w:tr>
        <w:tc>
          <w:tcPr/>
          <w:p>
            <w:pPr>
              <w:pStyle w:val="Compact"/>
            </w:pPr>
            <w:r>
              <w:t xml:space="preserve">$25.00</w:t>
            </w:r>
          </w:p>
        </w:tc>
        <w:tc>
          <w:tcPr/>
          <w:p>
            <w:pPr>
              <w:pStyle w:val="Compact"/>
            </w:pPr>
            <w:r>
              <w:t xml:space="preserve">$64.03</w:t>
            </w:r>
          </w:p>
        </w:tc>
        <w:tc>
          <w:tcPr/>
          <w:p>
            <w:pPr>
              <w:pStyle w:val="Compact"/>
            </w:pPr>
            <w:r>
              <w:t xml:space="preserve">High-demand scenario</w:t>
            </w:r>
          </w:p>
        </w:tc>
      </w:tr>
      <w:tr>
        <w:tc>
          <w:tcPr/>
          <w:p>
            <w:pPr>
              <w:pStyle w:val="Compact"/>
            </w:pPr>
            <w:r>
              <w:t xml:space="preserve">$50.00</w:t>
            </w:r>
          </w:p>
        </w:tc>
        <w:tc>
          <w:tcPr/>
          <w:p>
            <w:pPr>
              <w:pStyle w:val="Compact"/>
            </w:pPr>
            <w:r>
              <w:t xml:space="preserve">$128.05</w:t>
            </w:r>
          </w:p>
        </w:tc>
        <w:tc>
          <w:tcPr/>
          <w:p>
            <w:pPr>
              <w:pStyle w:val="Compact"/>
            </w:pPr>
            <w:r>
              <w:t xml:space="preserve">Compute-scarce scenario</w:t>
            </w:r>
          </w:p>
        </w:tc>
      </w:tr>
      <w:tr>
        <w:tc>
          <w:tcPr/>
          <w:p>
            <w:pPr>
              <w:pStyle w:val="Compact"/>
            </w:pPr>
            <w:r>
              <w:t xml:space="preserve">$100.00</w:t>
            </w:r>
          </w:p>
        </w:tc>
        <w:tc>
          <w:tcPr/>
          <w:p>
            <w:pPr>
              <w:pStyle w:val="Compact"/>
            </w:pPr>
            <w:r>
              <w:t xml:space="preserve">$256.10</w:t>
            </w:r>
          </w:p>
        </w:tc>
        <w:tc>
          <w:tcPr/>
          <w:p>
            <w:pPr>
              <w:pStyle w:val="Compact"/>
            </w:pPr>
            <w:r>
              <w:t xml:space="preserve">Extreme case</w:t>
            </w:r>
          </w:p>
        </w:tc>
      </w:tr>
    </w:tbl>
    <w:p>
      <w:pPr>
        <w:pStyle w:val="BodyText"/>
      </w:pPr>
      <w:r>
        <w:t xml:space="preserve">For comparison, a single prevented Sev3 incident saves approximately 3 hours of responder time. At any reasonable loaded hourly rate ($75–$150/hr), that’s $225–$450 per prevented incident. The program plausibly prevents 6+ incidents/month.</w:t>
      </w:r>
    </w:p>
    <w:p>
      <w:pPr>
        <w:pStyle w:val="BodyText"/>
      </w:pPr>
      <w:r>
        <w:rPr>
          <w:b/>
          <w:bCs/>
        </w:rPr>
        <w:t xml:space="preserve">Even at $100/M tokens (33× current market rate), the monthly compute cost ($256) is less than the value of a single prevented incident.</w:t>
      </w:r>
      <w:r>
        <w:t xml:space="preserve"> </w:t>
      </w:r>
      <w:r>
        <w:t xml:space="preserve">Token cost does not become the binding constraint on ROI until prices reach levels far beyond any current projection — or until the benefit estimate is dramatically wrong.</w:t>
      </w:r>
    </w:p>
    <w:p>
      <w:pPr>
        <w:jc w:val="center"/>
      </w:pPr>
      <w:r>
        <w:drawing>
          <wp:inline>
            <wp:extent cx="5029200" cy="3189742"/>
            <wp:docPr id="1" name="Picture 1"/>
            <wp:cNvGraphicFramePr>
              <a:graphicFrameLocks noChangeAspect="1"/>
            </wp:cNvGraphicFramePr>
            <a:graphic>
              <a:graphicData uri="http://schemas.openxmlformats.org/drawingml/2006/picture">
                <pic:pic>
                  <pic:nvPicPr>
                    <pic:cNvPr id="0" name="token_cost_vs_value.png"/>
                    <pic:cNvPicPr/>
                  </pic:nvPicPr>
                  <pic:blipFill>
                    <a:blip r:embed="rId9"/>
                    <a:stretch>
                      <a:fillRect/>
                    </a:stretch>
                  </pic:blipFill>
                  <pic:spPr>
                    <a:xfrm>
                      <a:off x="0" y="0"/>
                      <a:ext cx="5029200" cy="3189742"/>
                    </a:xfrm>
                    <a:prstGeom prst="rect"/>
                  </pic:spPr>
                </pic:pic>
              </a:graphicData>
            </a:graphic>
          </wp:inline>
        </w:drawing>
      </w:r>
    </w:p>
    <w:p>
      <w:pPr>
        <w:jc w:val="center"/>
      </w:pPr>
      <w:r>
        <w:rPr>
          <w:i/>
          <w:color w:val="666666"/>
          <w:sz w:val="18"/>
        </w:rPr>
        <w:t>Figure 5: Even at extreme token prices, monthly operating cost remains far below the value of prevented incidents. Assumes ~6 prevented incidents/month, 3 engineer hrs/incident, $180/hr fully loaded cost.</w:t>
      </w:r>
    </w:p>
    <w:bookmarkEnd w:id="41"/>
    <w:bookmarkStart w:id="42" w:name="Xc5921b170d18e1d977203002dab84fb18ef7fed"/>
    <w:p>
      <w:pPr>
        <w:pStyle w:val="Heading3"/>
      </w:pPr>
      <w:r>
        <w:t xml:space="preserve">Why this matters outside large enterprises</w:t>
      </w:r>
    </w:p>
    <w:p>
      <w:pPr>
        <w:pStyle w:val="FirstParagraph"/>
      </w:pPr>
      <w:r>
        <w:t xml:space="preserve">Within large enterprises, token costs are effectively subsidized and invisible to most teams. Outside that context — or in a future where compute costs are accounted for more rigorously — the token analysis demonstrates that the program remains viable even at market rates. The break-even threshold in compute terms is extremely low.</w:t>
      </w:r>
    </w:p>
    <w:p>
      <w:r>
        <w:pict>
          <v:rect style="width:0;height:1.5pt" o:hralign="center" o:hrstd="t" o:hr="t"/>
        </w:pict>
      </w:r>
    </w:p>
    <w:bookmarkEnd w:id="42"/>
    <w:bookmarkEnd w:id="43"/>
    <w:bookmarkStart w:id="48" w:name="appendix-development-token-footprint"/>
    <w:p>
      <w:pPr>
        <w:pStyle w:val="Heading2"/>
      </w:pPr>
      <w:r>
        <w:t xml:space="preserve">Appendix: Development Token Footprint</w:t>
      </w:r>
    </w:p>
    <w:p>
      <w:pPr>
        <w:pStyle w:val="FirstParagraph"/>
      </w:pPr>
      <w:r>
        <w:rPr>
          <w:i/>
          <w:iCs/>
        </w:rPr>
        <w:t xml:space="preserve">This section is separate from the operational ROI analysis above. It documents the one-time token cost of building and iterating on the agent — a historical record, not an input to the ongoing break-even calculation.</w:t>
      </w:r>
    </w:p>
    <w:bookmarkStart w:id="44" w:name="background"/>
    <w:p>
      <w:pPr>
        <w:pStyle w:val="Heading3"/>
      </w:pPr>
      <w:r>
        <w:t xml:space="preserve">Background</w:t>
      </w:r>
    </w:p>
    <w:p>
      <w:pPr>
        <w:pStyle w:val="FirstParagraph"/>
      </w:pPr>
      <w:r>
        <w:t xml:space="preserve">The incident-doc-gap agent was developed iteratively over approximately three weeks by a single developer working interactively with an AI coding assistant. Much of the token consumption reflects the learning process itself — experimenting with prompt design, debugging agent workflows, understanding LLM behavior, and running the pipeline repeatedly to validate changes. This was the developer’s first multi-agent project.</w:t>
      </w:r>
    </w:p>
    <w:bookmarkEnd w:id="44"/>
    <w:bookmarkStart w:id="45" w:name="methodology"/>
    <w:p>
      <w:pPr>
        <w:pStyle w:val="Heading3"/>
      </w:pPr>
      <w:r>
        <w:t xml:space="preserve">Methodology</w:t>
      </w:r>
    </w:p>
    <w:p>
      <w:pPr>
        <w:pStyle w:val="FirstParagraph"/>
      </w:pPr>
      <w:r>
        <w:t xml:space="preserve">Session-level token data was collected from the AI assistant’s session store. Sessions were classified as incident-doc-gap-related based on session summaries and content. Two production-run sessions (~147M session-store tokens) were excluded, since their operational cost is already modeled in the operating-cost appendix. A third production run predates the data window and is not included in either total.</w:t>
      </w:r>
    </w:p>
    <w:p>
      <w:pPr>
        <w:pStyle w:val="BodyText"/>
      </w:pPr>
      <w:r>
        <w:rPr>
          <w:b/>
          <w:bCs/>
        </w:rPr>
        <w:t xml:space="preserve">Note on token accounting:</w:t>
      </w:r>
      <w:r>
        <w:t xml:space="preserve"> </w:t>
      </w:r>
      <w:r>
        <w:t xml:space="preserve">Session-store tokens are broader than the per-run effective-token estimate used in the operating-cost appendix. They include context window loading, conversation overhead, file reads, sub-agent calls, retries, and interactive debugging. These are not directly comparable to the 2.56M effective-token-per-run figure — they represent the full cost of a human-in-the-loop development process.</w:t>
      </w:r>
    </w:p>
    <w:bookmarkEnd w:id="45"/>
    <w:bookmarkStart w:id="46" w:name="token-consumption"/>
    <w:p>
      <w:pPr>
        <w:pStyle w:val="Heading3"/>
      </w:pPr>
      <w:r>
        <w:t xml:space="preserve">Token consumption</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Related development sessions</w:t>
            </w:r>
          </w:p>
        </w:tc>
        <w:tc>
          <w:tcPr/>
          <w:p>
            <w:pPr>
              <w:pStyle w:val="Compact"/>
            </w:pPr>
            <w:r>
              <w:t xml:space="preserve">19</w:t>
            </w:r>
          </w:p>
        </w:tc>
      </w:tr>
      <w:tr>
        <w:tc>
          <w:tcPr/>
          <w:p>
            <w:pPr>
              <w:pStyle w:val="Compact"/>
            </w:pPr>
            <w:r>
              <w:t xml:space="preserve">Gross session tokens (all related)</w:t>
            </w:r>
          </w:p>
        </w:tc>
        <w:tc>
          <w:tcPr/>
          <w:p>
            <w:pPr>
              <w:pStyle w:val="Compact"/>
            </w:pPr>
            <w:r>
              <w:t xml:space="preserve">~406M</w:t>
            </w:r>
          </w:p>
        </w:tc>
      </w:tr>
      <w:tr>
        <w:tc>
          <w:tcPr/>
          <w:p>
            <w:pPr>
              <w:pStyle w:val="Compact"/>
            </w:pPr>
            <w:r>
              <w:t xml:space="preserve">Production-run sessions excluded</w:t>
            </w:r>
          </w:p>
        </w:tc>
        <w:tc>
          <w:tcPr/>
          <w:p>
            <w:pPr>
              <w:pStyle w:val="Compact"/>
            </w:pPr>
            <w:r>
              <w:t xml:space="preserve">~147M</w:t>
            </w:r>
          </w:p>
        </w:tc>
      </w:tr>
      <w:tr>
        <w:tc>
          <w:tcPr/>
          <w:p>
            <w:pPr>
              <w:pStyle w:val="Compact"/>
            </w:pPr>
            <w:r>
              <w:rPr>
                <w:b/>
                <w:bCs/>
              </w:rPr>
              <w:t xml:space="preserve">Development/refinement tokens</w:t>
            </w:r>
          </w:p>
        </w:tc>
        <w:tc>
          <w:tcPr/>
          <w:p>
            <w:pPr>
              <w:pStyle w:val="Compact"/>
            </w:pPr>
            <w:r>
              <w:rPr>
                <w:b/>
                <w:bCs/>
              </w:rPr>
              <w:t xml:space="preserve">~260M</w:t>
            </w:r>
          </w:p>
        </w:tc>
      </w:tr>
    </w:tbl>
    <w:bookmarkEnd w:id="46"/>
    <w:bookmarkStart w:id="47" w:name="cost-at-various-token-price-levels"/>
    <w:p>
      <w:pPr>
        <w:pStyle w:val="Heading3"/>
      </w:pPr>
      <w:r>
        <w:t xml:space="preserve">Cost at various token price levels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t xml:space="preserve">Assumed $/M tokens</w:t>
            </w:r>
          </w:p>
        </w:tc>
        <w:tc>
          <w:tcPr/>
          <w:p>
            <w:pPr>
              <w:pStyle w:val="Compact"/>
            </w:pPr>
            <w:r>
              <w:t xml:space="preserve">Development token cost</w:t>
            </w:r>
          </w:p>
        </w:tc>
        <w:tc>
          <w:tcPr/>
          <w:p>
            <w:pPr>
              <w:pStyle w:val="Compact"/>
            </w:pPr>
            <w:r>
              <w:t xml:space="preserve">Context</w:t>
            </w:r>
          </w:p>
        </w:tc>
      </w:tr>
      <w:tr>
        <w:tc>
          <w:tcPr/>
          <w:p>
            <w:pPr>
              <w:pStyle w:val="Compact"/>
            </w:pPr>
            <w:r>
              <w:t xml:space="preserve">$3.00 (current market, Sonnet-class)</w:t>
            </w:r>
          </w:p>
        </w:tc>
        <w:tc>
          <w:tcPr/>
          <w:p>
            <w:pPr>
              <w:pStyle w:val="Compact"/>
            </w:pPr>
            <w:r>
              <w:t xml:space="preserve">~$780</w:t>
            </w:r>
          </w:p>
        </w:tc>
        <w:tc>
          <w:tcPr/>
          <w:p>
            <w:pPr>
              <w:pStyle w:val="Compact"/>
            </w:pPr>
            <w:r>
              <w:t xml:space="preserve">Likely subsidized</w:t>
            </w:r>
          </w:p>
        </w:tc>
      </w:tr>
      <w:tr>
        <w:tc>
          <w:tcPr/>
          <w:p>
            <w:pPr>
              <w:pStyle w:val="Compact"/>
            </w:pPr>
            <w:r>
              <w:t xml:space="preserve">$10.00</w:t>
            </w:r>
          </w:p>
        </w:tc>
        <w:tc>
          <w:tcPr/>
          <w:p>
            <w:pPr>
              <w:pStyle w:val="Compact"/>
            </w:pPr>
            <w:r>
              <w:t xml:space="preserve">~$2,600</w:t>
            </w:r>
          </w:p>
        </w:tc>
        <w:tc>
          <w:tcPr/>
          <w:p>
            <w:pPr>
              <w:pStyle w:val="Compact"/>
            </w:pPr>
            <w:r>
              <w:t xml:space="preserve">Post-subsidy pricing</w:t>
            </w:r>
          </w:p>
        </w:tc>
      </w:tr>
      <w:tr>
        <w:tc>
          <w:tcPr/>
          <w:p>
            <w:pPr>
              <w:pStyle w:val="Compact"/>
            </w:pPr>
            <w:r>
              <w:t xml:space="preserve">$25.00</w:t>
            </w:r>
          </w:p>
        </w:tc>
        <w:tc>
          <w:tcPr/>
          <w:p>
            <w:pPr>
              <w:pStyle w:val="Compact"/>
            </w:pPr>
            <w:r>
              <w:t xml:space="preserve">~$6,500</w:t>
            </w:r>
          </w:p>
        </w:tc>
        <w:tc>
          <w:tcPr/>
          <w:p>
            <w:pPr>
              <w:pStyle w:val="Compact"/>
            </w:pPr>
            <w:r>
              <w:t xml:space="preserve">High-demand scenario</w:t>
            </w:r>
          </w:p>
        </w:tc>
      </w:tr>
      <w:tr>
        <w:tc>
          <w:tcPr/>
          <w:p>
            <w:pPr>
              <w:pStyle w:val="Compact"/>
            </w:pPr>
            <w:r>
              <w:t xml:space="preserve">$50.00</w:t>
            </w:r>
          </w:p>
        </w:tc>
        <w:tc>
          <w:tcPr/>
          <w:p>
            <w:pPr>
              <w:pStyle w:val="Compact"/>
            </w:pPr>
            <w:r>
              <w:t xml:space="preserve">~$13,000</w:t>
            </w:r>
          </w:p>
        </w:tc>
        <w:tc>
          <w:tcPr/>
          <w:p>
            <w:pPr>
              <w:pStyle w:val="Compact"/>
            </w:pPr>
            <w:r>
              <w:t xml:space="preserve">Compute-scarce scenario</w:t>
            </w:r>
          </w:p>
        </w:tc>
      </w:tr>
      <w:tr>
        <w:tc>
          <w:tcPr/>
          <w:p>
            <w:pPr>
              <w:pStyle w:val="Compact"/>
            </w:pPr>
            <w:r>
              <w:t xml:space="preserve">$100.00</w:t>
            </w:r>
          </w:p>
        </w:tc>
        <w:tc>
          <w:tcPr/>
          <w:p>
            <w:pPr>
              <w:pStyle w:val="Compact"/>
            </w:pPr>
            <w:r>
              <w:t xml:space="preserve">~$26,000</w:t>
            </w:r>
          </w:p>
        </w:tc>
        <w:tc>
          <w:tcPr/>
          <w:p>
            <w:pPr>
              <w:pStyle w:val="Compact"/>
            </w:pPr>
            <w:r>
              <w:t xml:space="preserve">Extreme case</w:t>
            </w:r>
          </w:p>
        </w:tc>
      </w:tr>
    </w:tbl>
    <w:p>
      <w:pPr>
        <w:pStyle w:val="BodyText"/>
      </w:pPr>
      <w:r>
        <w:t xml:space="preserve">Within large enterprises, this cost is absorbed by existing AI assistant licensing — no per-token charges are passed to individual teams. At external market rates, it represents the equivalent of roughly 1–4 weeks of a single FTE’s loaded cost — to build a capability that now operates at 3.5 hours per month.</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2026-06-19T22:09:02Z</dcterms:created>
  <dcterms:modified xsi:type="dcterms:W3CDTF">2026-06-19T22:09:02Z</dcterms:modified>
</cp:coreProperties>
</file>

<file path=docProps/custom.xml><?xml version="1.0" encoding="utf-8"?>
<Properties xmlns="http://schemas.openxmlformats.org/officeDocument/2006/custom-properties" xmlns:vt="http://schemas.openxmlformats.org/officeDocument/2006/docPropsVTypes"/>
</file>