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b/>
          <w:color w:val="188B8B"/>
          <w:sz w:val="24"/>
        </w:rPr>
        <w:t>POCKETLAB</w:t>
      </w:r>
    </w:p>
    <w:p>
      <w:pPr>
        <w:pStyle w:val="Title"/>
        <w:jc w:val="center"/>
      </w:pPr>
      <w:r>
        <w:t>Bipolar AC Output Stage</w:t>
      </w:r>
    </w:p>
    <w:p>
      <w:pPr>
        <w:pStyle w:val="Subtitle"/>
        <w:jc w:val="center"/>
      </w:pPr>
      <w:r>
        <w:t>Breadboard Validation and Characterization Report</w:t>
      </w:r>
    </w:p>
    <w:tbl>
      <w:tblPr>
        <w:tblW w:type="auto" w:w="0"/>
        <w:jc w:val="center"/>
        <w:tblLook w:firstColumn="1" w:firstRow="1" w:lastColumn="0" w:lastRow="0" w:noHBand="0" w:noVBand="1" w:val="04A0"/>
      </w:tblPr>
      <w:tblGrid>
        <w:gridCol w:w="5083"/>
        <w:gridCol w:w="5083"/>
      </w:tblGrid>
      <w:tr>
        <w:tc>
          <w:tcPr>
            <w:tcW w:type="dxa" w:w="5083"/>
            <w:shd w:fill="17324D"/>
            <w:tcMar>
              <w:top w:w="130" w:type="dxa"/>
              <w:start w:w="160" w:type="dxa"/>
              <w:bottom w:w="130" w:type="dxa"/>
              <w:end w:w="160" w:type="dxa"/>
            </w:tcMar>
          </w:tcPr>
          <w:p>
            <w:r>
              <w:rPr>
                <w:b/>
                <w:color w:val="FFFFFF"/>
              </w:rPr>
              <w:t>Project</w:t>
            </w:r>
          </w:p>
        </w:tc>
        <w:tc>
          <w:tcPr>
            <w:tcW w:type="dxa" w:w="5083"/>
            <w:shd w:fill="EAF1F7"/>
            <w:tcMar>
              <w:top w:w="130" w:type="dxa"/>
              <w:start w:w="160" w:type="dxa"/>
              <w:bottom w:w="130" w:type="dxa"/>
              <w:end w:w="160" w:type="dxa"/>
            </w:tcMar>
          </w:tcPr>
          <w:p>
            <w:r>
              <w:t>PocketLab Programmable Function Generator</w:t>
            </w:r>
          </w:p>
        </w:tc>
      </w:tr>
      <w:tr>
        <w:tc>
          <w:tcPr>
            <w:tcW w:type="dxa" w:w="5083"/>
            <w:shd w:fill="17324D"/>
            <w:tcMar>
              <w:top w:w="130" w:type="dxa"/>
              <w:start w:w="160" w:type="dxa"/>
              <w:bottom w:w="130" w:type="dxa"/>
              <w:end w:w="160" w:type="dxa"/>
            </w:tcMar>
          </w:tcPr>
          <w:p>
            <w:r>
              <w:rPr>
                <w:b/>
                <w:color w:val="FFFFFF"/>
              </w:rPr>
              <w:t>Test date</w:t>
            </w:r>
          </w:p>
        </w:tc>
        <w:tc>
          <w:tcPr>
            <w:tcW w:type="dxa" w:w="5083"/>
            <w:shd w:fill="EAF1F7"/>
            <w:tcMar>
              <w:top w:w="130" w:type="dxa"/>
              <w:start w:w="160" w:type="dxa"/>
              <w:bottom w:w="130" w:type="dxa"/>
              <w:end w:w="160" w:type="dxa"/>
            </w:tcMar>
          </w:tcPr>
          <w:p>
            <w:r>
              <w:t>July 22, 2026</w:t>
            </w:r>
          </w:p>
        </w:tc>
      </w:tr>
      <w:tr>
        <w:tc>
          <w:tcPr>
            <w:tcW w:type="dxa" w:w="5083"/>
            <w:shd w:fill="17324D"/>
            <w:tcMar>
              <w:top w:w="130" w:type="dxa"/>
              <w:start w:w="160" w:type="dxa"/>
              <w:bottom w:w="130" w:type="dxa"/>
              <w:end w:w="160" w:type="dxa"/>
            </w:tcMar>
          </w:tcPr>
          <w:p>
            <w:r>
              <w:rPr>
                <w:b/>
                <w:color w:val="FFFFFF"/>
              </w:rPr>
              <w:t>Prepared for</w:t>
            </w:r>
          </w:p>
        </w:tc>
        <w:tc>
          <w:tcPr>
            <w:tcW w:type="dxa" w:w="5083"/>
            <w:shd w:fill="EAF1F7"/>
            <w:tcMar>
              <w:top w:w="130" w:type="dxa"/>
              <w:start w:w="160" w:type="dxa"/>
              <w:bottom w:w="130" w:type="dxa"/>
              <w:end w:w="160" w:type="dxa"/>
            </w:tcMar>
          </w:tcPr>
          <w:p>
            <w:r>
              <w:t>Mark Anderson</w:t>
            </w:r>
          </w:p>
        </w:tc>
      </w:tr>
      <w:tr>
        <w:tc>
          <w:tcPr>
            <w:tcW w:type="dxa" w:w="5083"/>
            <w:shd w:fill="17324D"/>
            <w:tcMar>
              <w:top w:w="130" w:type="dxa"/>
              <w:start w:w="160" w:type="dxa"/>
              <w:bottom w:w="130" w:type="dxa"/>
              <w:end w:w="160" w:type="dxa"/>
            </w:tcMar>
          </w:tcPr>
          <w:p>
            <w:r>
              <w:rPr>
                <w:b/>
                <w:color w:val="FFFFFF"/>
              </w:rPr>
              <w:t>Status</w:t>
            </w:r>
          </w:p>
        </w:tc>
        <w:tc>
          <w:tcPr>
            <w:tcW w:type="dxa" w:w="5083"/>
            <w:shd w:fill="EAF1F7"/>
            <w:tcMar>
              <w:top w:w="130" w:type="dxa"/>
              <w:start w:w="160" w:type="dxa"/>
              <w:bottom w:w="130" w:type="dxa"/>
              <w:end w:w="160" w:type="dxa"/>
            </w:tcMar>
          </w:tcPr>
          <w:p>
            <w:r>
              <w:t>PASS — provisional high-impedance AC output validated</w:t>
            </w:r>
          </w:p>
        </w:tc>
      </w:tr>
    </w:tbl>
    <w:p/>
    <w:tbl>
      <w:tblPr>
        <w:tblW w:type="auto" w:w="0"/>
        <w:tblLook w:firstColumn="1" w:firstRow="1" w:lastColumn="0" w:lastRow="0" w:noHBand="0" w:noVBand="1" w:val="04A0"/>
      </w:tblPr>
      <w:tblGrid>
        <w:gridCol w:w="10166"/>
      </w:tblGrid>
      <w:tr>
        <w:tc>
          <w:tcPr>
            <w:tcW w:type="dxa" w:w="10166"/>
            <w:shd w:fill="DDEFEF"/>
            <w:tcMar>
              <w:top w:w="150" w:type="dxa"/>
              <w:start w:w="180" w:type="dxa"/>
              <w:bottom w:w="150" w:type="dxa"/>
              <w:end w:w="180" w:type="dxa"/>
            </w:tcMar>
          </w:tcPr>
          <w:p>
            <w:r>
              <w:rPr>
                <w:b/>
                <w:color w:val="17324D"/>
              </w:rPr>
              <w:t xml:space="preserve">Executive result  </w:t>
            </w:r>
            <w:r>
              <w:t>A 47 µF coupling capacitor, 100 Ω protection resistor, and permanent 100 kΩ ground-reference resistor converted the existing 2.34 V-biased output into a clean bipolar waveform centered within a few millivolts of 0 V. Amplitude tracking was within 0.5% from 10 Hz through 100 kHz under high-impedance loading. Loads of 10 kΩ or greater produced about 1% or less additional attenuation.</w:t>
            </w:r>
          </w:p>
        </w:tc>
      </w:tr>
    </w:tbl>
    <w:p>
      <w:pPr>
        <w:spacing w:after="0"/>
      </w:pPr>
    </w:p>
    <w:p>
      <w:r>
        <w:br w:type="page"/>
      </w:r>
    </w:p>
    <w:p>
      <w:pPr>
        <w:pStyle w:val="Heading1"/>
      </w:pPr>
      <w:r>
        <w:t>1. Objective</w:t>
      </w:r>
    </w:p>
    <w:p>
      <w:r>
        <w:t>Validate a passive output branch that removes the function generator’s DC bias while preserving the AC waveform. The stage was evaluated for waveform centering, amplitude transfer, frequency response, load response, and power-switching behavior.</w:t>
      </w:r>
    </w:p>
    <w:p>
      <w:pPr>
        <w:pStyle w:val="Heading1"/>
      </w:pPr>
      <w:r>
        <w:t>2. Circuit under test</w:t>
      </w:r>
    </w:p>
    <w:tbl>
      <w:tblPr>
        <w:tblW w:type="auto" w:w="0"/>
        <w:jc w:val="center"/>
        <w:tblLayout w:type="fixed"/>
        <w:tblLook w:firstColumn="1" w:firstRow="1" w:lastColumn="0" w:lastRow="0" w:noHBand="0" w:noVBand="1" w:val="04A0"/>
        <w:tblBorders>
          <w:top w:val="single" w:sz="5" w:color="C8D0D8"/>
          <w:left w:val="single" w:sz="5" w:color="C8D0D8"/>
          <w:bottom w:val="single" w:sz="5" w:color="C8D0D8"/>
          <w:right w:val="single" w:sz="5" w:color="C8D0D8"/>
          <w:insideH w:val="single" w:sz="5" w:color="C8D0D8"/>
          <w:insideV w:val="single" w:sz="5" w:color="C8D0D8"/>
        </w:tblBorders>
      </w:tblPr>
      <w:tblGrid>
        <w:gridCol w:w="3389"/>
        <w:gridCol w:w="3389"/>
        <w:gridCol w:w="3389"/>
      </w:tblGrid>
      <w:tr>
        <w:trPr>
          <w:tblHeader w:val="true"/>
        </w:trPr>
        <w:tc>
          <w:tcPr>
            <w:tcW w:type="dxa" w:w="2088"/>
            <w:shd w:fill="17324D"/>
            <w:tcMar>
              <w:top w:w="100" w:type="dxa"/>
              <w:start w:w="110" w:type="dxa"/>
              <w:bottom w:w="100" w:type="dxa"/>
              <w:end w:w="110" w:type="dxa"/>
            </w:tcMar>
            <w:vAlign w:val="center"/>
          </w:tcPr>
          <w:p>
            <w:pPr>
              <w:jc w:val="center"/>
            </w:pPr>
            <w:r>
              <w:rPr>
                <w:b/>
                <w:color w:val="FFFFFF"/>
                <w:sz w:val="16"/>
              </w:rPr>
              <w:t>Connection</w:t>
            </w:r>
          </w:p>
        </w:tc>
        <w:tc>
          <w:tcPr>
            <w:tcW w:type="dxa" w:w="3240"/>
            <w:shd w:fill="17324D"/>
            <w:tcMar>
              <w:top w:w="100" w:type="dxa"/>
              <w:start w:w="110" w:type="dxa"/>
              <w:bottom w:w="100" w:type="dxa"/>
              <w:end w:w="110" w:type="dxa"/>
            </w:tcMar>
            <w:vAlign w:val="center"/>
          </w:tcPr>
          <w:p>
            <w:pPr>
              <w:jc w:val="center"/>
            </w:pPr>
            <w:r>
              <w:rPr>
                <w:b/>
                <w:color w:val="FFFFFF"/>
                <w:sz w:val="16"/>
              </w:rPr>
              <w:t>Component / node</w:t>
            </w:r>
          </w:p>
        </w:tc>
        <w:tc>
          <w:tcPr>
            <w:tcW w:type="dxa" w:w="4824"/>
            <w:shd w:fill="17324D"/>
            <w:tcMar>
              <w:top w:w="100" w:type="dxa"/>
              <w:start w:w="110" w:type="dxa"/>
              <w:bottom w:w="100" w:type="dxa"/>
              <w:end w:w="110" w:type="dxa"/>
            </w:tcMar>
            <w:vAlign w:val="center"/>
          </w:tcPr>
          <w:p>
            <w:pPr>
              <w:jc w:val="center"/>
            </w:pPr>
            <w:r>
              <w:rPr>
                <w:b/>
                <w:color w:val="FFFFFF"/>
                <w:sz w:val="16"/>
              </w:rPr>
              <w:t>Purpose</w:t>
            </w:r>
          </w:p>
        </w:tc>
      </w:tr>
      <w:tr>
        <w:tc>
          <w:tcPr>
            <w:tcW w:type="dxa" w:w="2088"/>
            <w:tcMar>
              <w:top w:w="100" w:type="dxa"/>
              <w:start w:w="110" w:type="dxa"/>
              <w:bottom w:w="100" w:type="dxa"/>
              <w:end w:w="110" w:type="dxa"/>
            </w:tcMar>
            <w:vAlign w:val="center"/>
          </w:tcPr>
          <w:p>
            <w:pPr>
              <w:jc w:val="left"/>
            </w:pPr>
            <w:r>
              <w:rPr>
                <w:sz w:val="16"/>
              </w:rPr>
              <w:t>DC OUT → capacitor +</w:t>
            </w:r>
          </w:p>
        </w:tc>
        <w:tc>
          <w:tcPr>
            <w:tcW w:type="dxa" w:w="3240"/>
            <w:tcMar>
              <w:top w:w="100" w:type="dxa"/>
              <w:start w:w="110" w:type="dxa"/>
              <w:bottom w:w="100" w:type="dxa"/>
              <w:end w:w="110" w:type="dxa"/>
            </w:tcMar>
            <w:vAlign w:val="center"/>
          </w:tcPr>
          <w:p>
            <w:pPr>
              <w:jc w:val="center"/>
            </w:pPr>
            <w:r>
              <w:rPr>
                <w:sz w:val="16"/>
              </w:rPr>
              <w:t>47 µF, 10 V electrolytic</w:t>
            </w:r>
          </w:p>
        </w:tc>
        <w:tc>
          <w:tcPr>
            <w:tcW w:type="dxa" w:w="4824"/>
            <w:tcMar>
              <w:top w:w="100" w:type="dxa"/>
              <w:start w:w="110" w:type="dxa"/>
              <w:bottom w:w="100" w:type="dxa"/>
              <w:end w:w="110" w:type="dxa"/>
            </w:tcMar>
            <w:vAlign w:val="center"/>
          </w:tcPr>
          <w:p>
            <w:pPr>
              <w:jc w:val="center"/>
            </w:pPr>
            <w:r>
              <w:rPr>
                <w:sz w:val="16"/>
              </w:rPr>
              <w:t>Blocks steady DC after charging; passes the changing waveform</w:t>
            </w:r>
          </w:p>
        </w:tc>
      </w:tr>
      <w:tr>
        <w:tc>
          <w:tcPr>
            <w:tcW w:type="dxa" w:w="2088"/>
            <w:tcMar>
              <w:top w:w="100" w:type="dxa"/>
              <w:start w:w="110" w:type="dxa"/>
              <w:bottom w:w="100" w:type="dxa"/>
              <w:end w:w="110" w:type="dxa"/>
            </w:tcMar>
            <w:vAlign w:val="center"/>
            <w:shd w:fill="F2F4F6"/>
          </w:tcPr>
          <w:p>
            <w:pPr>
              <w:jc w:val="left"/>
            </w:pPr>
            <w:r>
              <w:rPr>
                <w:sz w:val="16"/>
              </w:rPr>
              <w:t>Capacitor − → AC OUT</w:t>
            </w:r>
          </w:p>
        </w:tc>
        <w:tc>
          <w:tcPr>
            <w:tcW w:type="dxa" w:w="3240"/>
            <w:tcMar>
              <w:top w:w="100" w:type="dxa"/>
              <w:start w:w="110" w:type="dxa"/>
              <w:bottom w:w="100" w:type="dxa"/>
              <w:end w:w="110" w:type="dxa"/>
            </w:tcMar>
            <w:vAlign w:val="center"/>
            <w:shd w:fill="F2F4F6"/>
          </w:tcPr>
          <w:p>
            <w:pPr>
              <w:jc w:val="center"/>
            </w:pPr>
            <w:r>
              <w:rPr>
                <w:sz w:val="16"/>
              </w:rPr>
              <w:t>100 Ω series resistor</w:t>
            </w:r>
          </w:p>
        </w:tc>
        <w:tc>
          <w:tcPr>
            <w:tcW w:type="dxa" w:w="4824"/>
            <w:tcMar>
              <w:top w:w="100" w:type="dxa"/>
              <w:start w:w="110" w:type="dxa"/>
              <w:bottom w:w="100" w:type="dxa"/>
              <w:end w:w="110" w:type="dxa"/>
            </w:tcMar>
            <w:vAlign w:val="center"/>
            <w:shd w:fill="F2F4F6"/>
          </w:tcPr>
          <w:p>
            <w:pPr>
              <w:jc w:val="center"/>
            </w:pPr>
            <w:r>
              <w:rPr>
                <w:sz w:val="16"/>
              </w:rPr>
              <w:t>Limits fault and capacitive-load current; creates predictable load attenuation</w:t>
            </w:r>
          </w:p>
        </w:tc>
      </w:tr>
      <w:tr>
        <w:tc>
          <w:tcPr>
            <w:tcW w:type="dxa" w:w="2088"/>
            <w:tcMar>
              <w:top w:w="100" w:type="dxa"/>
              <w:start w:w="110" w:type="dxa"/>
              <w:bottom w:w="100" w:type="dxa"/>
              <w:end w:w="110" w:type="dxa"/>
            </w:tcMar>
            <w:vAlign w:val="center"/>
          </w:tcPr>
          <w:p>
            <w:pPr>
              <w:jc w:val="left"/>
            </w:pPr>
            <w:r>
              <w:rPr>
                <w:sz w:val="16"/>
              </w:rPr>
              <w:t>AC OUT → ground</w:t>
            </w:r>
          </w:p>
        </w:tc>
        <w:tc>
          <w:tcPr>
            <w:tcW w:type="dxa" w:w="3240"/>
            <w:tcMar>
              <w:top w:w="100" w:type="dxa"/>
              <w:start w:w="110" w:type="dxa"/>
              <w:bottom w:w="100" w:type="dxa"/>
              <w:end w:w="110" w:type="dxa"/>
            </w:tcMar>
            <w:vAlign w:val="center"/>
          </w:tcPr>
          <w:p>
            <w:pPr>
              <w:jc w:val="center"/>
            </w:pPr>
            <w:r>
              <w:rPr>
                <w:sz w:val="16"/>
              </w:rPr>
              <w:t>100 kΩ permanent resistor</w:t>
            </w:r>
          </w:p>
        </w:tc>
        <w:tc>
          <w:tcPr>
            <w:tcW w:type="dxa" w:w="4824"/>
            <w:tcMar>
              <w:top w:w="100" w:type="dxa"/>
              <w:start w:w="110" w:type="dxa"/>
              <w:bottom w:w="100" w:type="dxa"/>
              <w:end w:w="110" w:type="dxa"/>
            </w:tcMar>
            <w:vAlign w:val="center"/>
          </w:tcPr>
          <w:p>
            <w:pPr>
              <w:jc w:val="center"/>
            </w:pPr>
            <w:r>
              <w:rPr>
                <w:sz w:val="16"/>
              </w:rPr>
              <w:t>References output average to 0 V and discharges the capacitor</w:t>
            </w:r>
          </w:p>
        </w:tc>
      </w:tr>
      <w:tr>
        <w:tc>
          <w:tcPr>
            <w:tcW w:type="dxa" w:w="2088"/>
            <w:tcMar>
              <w:top w:w="100" w:type="dxa"/>
              <w:start w:w="110" w:type="dxa"/>
              <w:bottom w:w="100" w:type="dxa"/>
              <w:end w:w="110" w:type="dxa"/>
            </w:tcMar>
            <w:vAlign w:val="center"/>
            <w:shd w:fill="F2F4F6"/>
          </w:tcPr>
          <w:p>
            <w:pPr>
              <w:jc w:val="left"/>
            </w:pPr>
            <w:r>
              <w:rPr>
                <w:sz w:val="16"/>
              </w:rPr>
              <w:t>Measurement</w:t>
            </w:r>
          </w:p>
        </w:tc>
        <w:tc>
          <w:tcPr>
            <w:tcW w:type="dxa" w:w="3240"/>
            <w:tcMar>
              <w:top w:w="100" w:type="dxa"/>
              <w:start w:w="110" w:type="dxa"/>
              <w:bottom w:w="100" w:type="dxa"/>
              <w:end w:w="110" w:type="dxa"/>
            </w:tcMar>
            <w:vAlign w:val="center"/>
            <w:shd w:fill="F2F4F6"/>
          </w:tcPr>
          <w:p>
            <w:pPr>
              <w:jc w:val="center"/>
            </w:pPr>
            <w:r>
              <w:rPr>
                <w:sz w:val="16"/>
              </w:rPr>
              <w:t>Analog Discovery 3, 1 MΩ input</w:t>
            </w:r>
          </w:p>
        </w:tc>
        <w:tc>
          <w:tcPr>
            <w:tcW w:type="dxa" w:w="4824"/>
            <w:tcMar>
              <w:top w:w="100" w:type="dxa"/>
              <w:start w:w="110" w:type="dxa"/>
              <w:bottom w:w="100" w:type="dxa"/>
              <w:end w:w="110" w:type="dxa"/>
            </w:tcMar>
            <w:vAlign w:val="center"/>
            <w:shd w:fill="F2F4F6"/>
          </w:tcPr>
          <w:p>
            <w:pPr>
              <w:jc w:val="center"/>
            </w:pPr>
            <w:r>
              <w:rPr>
                <w:sz w:val="16"/>
              </w:rPr>
              <w:t>High-impedance observation of DC OUT and AC OUT</w:t>
            </w:r>
          </w:p>
        </w:tc>
      </w:tr>
    </w:tbl>
    <w:p>
      <w:pPr>
        <w:spacing w:after="0"/>
      </w:pPr>
    </w:p>
    <w:p>
      <w:r>
        <w:t>Capacitor polarity was positive toward the OP484 output and negative toward AC OUT. The existing DC output remained available and unchanged.</w:t>
      </w:r>
    </w:p>
    <w:p>
      <w:pPr>
        <w:pStyle w:val="Heading1"/>
      </w:pPr>
      <w:r>
        <w:t>3. Operating principle</w:t>
      </w:r>
    </w:p>
    <w:p>
      <w:r>
        <w:t>At steady state, the capacitor charges to approximately the 2.34 V DC bias at DC OUT. The constant component is blocked, while voltage changes are coupled through. The 100 kΩ resistor establishes ground as the new average level.</w:t>
      </w:r>
    </w:p>
    <w:p>
      <w:pPr>
        <w:jc w:val="center"/>
      </w:pPr>
      <w:r>
        <w:rPr>
          <w:b/>
          <w:color w:val="17324D"/>
        </w:rPr>
        <w:t>vDC(t) ≈ 2.343 V + 0.496 sin(2πft) V</w:t>
      </w:r>
    </w:p>
    <w:p>
      <w:pPr>
        <w:jc w:val="center"/>
      </w:pPr>
      <w:r>
        <w:rPr>
          <w:b/>
          <w:color w:val="188B8B"/>
        </w:rPr>
        <w:t>vAC(t) ≈ 0.496 sin(2πft) V</w:t>
      </w:r>
    </w:p>
    <w:p>
      <w:r>
        <w:t>The permanent 100 kΩ resistor in parallel with the 1 MΩ instrument input gives about 90.9 kΩ. With 47 µF, the calculated high-pass corner is approximately 0.037 Hz—far below the tested 10 Hz minimum.</w:t>
      </w:r>
    </w:p>
    <w:tbl>
      <w:tblPr>
        <w:tblW w:type="auto" w:w="0"/>
        <w:tblLook w:firstColumn="1" w:firstRow="1" w:lastColumn="0" w:lastRow="0" w:noHBand="0" w:noVBand="1" w:val="04A0"/>
      </w:tblPr>
      <w:tblGrid>
        <w:gridCol w:w="10166"/>
      </w:tblGrid>
      <w:tr>
        <w:tc>
          <w:tcPr>
            <w:tcW w:type="dxa" w:w="10166"/>
            <w:shd w:fill="EAF1F7"/>
            <w:tcMar>
              <w:top w:w="150" w:type="dxa"/>
              <w:start w:w="180" w:type="dxa"/>
              <w:bottom w:w="150" w:type="dxa"/>
              <w:end w:w="180" w:type="dxa"/>
            </w:tcMar>
          </w:tcPr>
          <w:p>
            <w:r>
              <w:rPr>
                <w:b/>
                <w:color w:val="17324D"/>
              </w:rPr>
              <w:t xml:space="preserve">Important limitation  </w:t>
            </w:r>
            <w:r>
              <w:t>This stage produces negative waveform excursions but not a negative DC rail. It supports an AC waveform centered at 0 V; it cannot provide steady negative offset or an adjustable center below ground.</w:t>
            </w:r>
          </w:p>
        </w:tc>
      </w:tr>
    </w:tbl>
    <w:p>
      <w:pPr>
        <w:spacing w:after="0"/>
      </w:pPr>
    </w:p>
    <w:p>
      <w:pPr>
        <w:pStyle w:val="Heading1"/>
      </w:pPr>
      <w:r>
        <w:t>4. Safety and initial powered checks</w:t>
      </w:r>
    </w:p>
    <w:p>
      <w:pPr>
        <w:pStyle w:val="ListBullet"/>
      </w:pPr>
      <w:r>
        <w:t>Continuity confirmed from OP484 pin 1 / existing output to the capacitor positive lead.</w:t>
      </w:r>
    </w:p>
    <w:p>
      <w:pPr>
        <w:pStyle w:val="ListBullet"/>
      </w:pPr>
      <w:r>
        <w:t>Capacitor negative lead to AC OUT measured approximately 99.1 Ω.</w:t>
      </w:r>
    </w:p>
    <w:p>
      <w:pPr>
        <w:pStyle w:val="ListBullet"/>
      </w:pPr>
      <w:r>
        <w:t>AC OUT to circuit ground measured approximately 99.8 kΩ.</w:t>
      </w:r>
    </w:p>
    <w:p>
      <w:pPr>
        <w:pStyle w:val="ListBullet"/>
      </w:pPr>
      <w:r>
        <w:t>AC OUT to +5 V measured about 100 kΩ and rising, consistent with capacitor charging rather than a short.</w:t>
      </w:r>
    </w:p>
    <w:p>
      <w:pPr>
        <w:pStyle w:val="ListBullet"/>
      </w:pPr>
      <w:r>
        <w:t>+5 V to ground showed no short; measurement grounds used common circuit ground.</w:t>
      </w:r>
    </w:p>
    <w:p>
      <w:r>
        <w:t>Initial powered checks were normal: +5 V rail = 4.71 V; supply current = 0.06–0.07 A; DC OUT = 2.345 V when active; AC OUT decayed toward 0 V. With output logically off, DC OUT measured 10.6 mV and AC OUT measured 0.0 mV.</w:t>
      </w:r>
    </w:p>
    <w:p>
      <w:pPr>
        <w:pStyle w:val="Heading1"/>
      </w:pPr>
      <w:r>
        <w:t>5. Initial 1 kHz validation</w:t>
      </w:r>
    </w:p>
    <w:tbl>
      <w:tblPr>
        <w:tblW w:type="auto" w:w="0"/>
        <w:jc w:val="center"/>
        <w:tblLayout w:type="fixed"/>
        <w:tblLook w:firstColumn="1" w:firstRow="1" w:lastColumn="0" w:lastRow="0" w:noHBand="0" w:noVBand="1" w:val="04A0"/>
        <w:tblBorders>
          <w:top w:val="single" w:sz="5" w:color="C8D0D8"/>
          <w:left w:val="single" w:sz="5" w:color="C8D0D8"/>
          <w:bottom w:val="single" w:sz="5" w:color="C8D0D8"/>
          <w:right w:val="single" w:sz="5" w:color="C8D0D8"/>
          <w:insideH w:val="single" w:sz="5" w:color="C8D0D8"/>
          <w:insideV w:val="single" w:sz="5" w:color="C8D0D8"/>
        </w:tblBorders>
      </w:tblPr>
      <w:tblGrid>
        <w:gridCol w:w="3389"/>
        <w:gridCol w:w="3389"/>
        <w:gridCol w:w="3389"/>
      </w:tblGrid>
      <w:tr>
        <w:trPr>
          <w:tblHeader w:val="true"/>
        </w:trPr>
        <w:tc>
          <w:tcPr>
            <w:tcW w:type="dxa" w:w="2304"/>
            <w:shd w:fill="17324D"/>
            <w:tcMar>
              <w:top w:w="100" w:type="dxa"/>
              <w:start w:w="110" w:type="dxa"/>
              <w:bottom w:w="100" w:type="dxa"/>
              <w:end w:w="110" w:type="dxa"/>
            </w:tcMar>
            <w:vAlign w:val="center"/>
          </w:tcPr>
          <w:p>
            <w:pPr>
              <w:jc w:val="center"/>
            </w:pPr>
            <w:r>
              <w:rPr>
                <w:b/>
                <w:color w:val="FFFFFF"/>
                <w:sz w:val="16"/>
              </w:rPr>
              <w:t>Metric</w:t>
            </w:r>
          </w:p>
        </w:tc>
        <w:tc>
          <w:tcPr>
            <w:tcW w:type="dxa" w:w="2448"/>
            <w:shd w:fill="17324D"/>
            <w:tcMar>
              <w:top w:w="100" w:type="dxa"/>
              <w:start w:w="110" w:type="dxa"/>
              <w:bottom w:w="100" w:type="dxa"/>
              <w:end w:w="110" w:type="dxa"/>
            </w:tcMar>
            <w:vAlign w:val="center"/>
          </w:tcPr>
          <w:p>
            <w:pPr>
              <w:jc w:val="center"/>
            </w:pPr>
            <w:r>
              <w:rPr>
                <w:b/>
                <w:color w:val="FFFFFF"/>
                <w:sz w:val="16"/>
              </w:rPr>
              <w:t>AC OUT result</w:t>
            </w:r>
          </w:p>
        </w:tc>
        <w:tc>
          <w:tcPr>
            <w:tcW w:type="dxa" w:w="5328"/>
            <w:shd w:fill="17324D"/>
            <w:tcMar>
              <w:top w:w="100" w:type="dxa"/>
              <w:start w:w="110" w:type="dxa"/>
              <w:bottom w:w="100" w:type="dxa"/>
              <w:end w:w="110" w:type="dxa"/>
            </w:tcMar>
            <w:vAlign w:val="center"/>
          </w:tcPr>
          <w:p>
            <w:pPr>
              <w:jc w:val="center"/>
            </w:pPr>
            <w:r>
              <w:rPr>
                <w:b/>
                <w:color w:val="FFFFFF"/>
                <w:sz w:val="16"/>
              </w:rPr>
              <w:t>Interpretation</w:t>
            </w:r>
          </w:p>
        </w:tc>
      </w:tr>
      <w:tr>
        <w:tc>
          <w:tcPr>
            <w:tcW w:type="dxa" w:w="2304"/>
            <w:tcMar>
              <w:top w:w="100" w:type="dxa"/>
              <w:start w:w="110" w:type="dxa"/>
              <w:bottom w:w="100" w:type="dxa"/>
              <w:end w:w="110" w:type="dxa"/>
            </w:tcMar>
            <w:vAlign w:val="center"/>
          </w:tcPr>
          <w:p>
            <w:pPr>
              <w:jc w:val="left"/>
            </w:pPr>
            <w:r>
              <w:rPr>
                <w:sz w:val="16"/>
              </w:rPr>
              <w:t>Maximum</w:t>
            </w:r>
          </w:p>
        </w:tc>
        <w:tc>
          <w:tcPr>
            <w:tcW w:type="dxa" w:w="2448"/>
            <w:tcMar>
              <w:top w:w="100" w:type="dxa"/>
              <w:start w:w="110" w:type="dxa"/>
              <w:bottom w:w="100" w:type="dxa"/>
              <w:end w:w="110" w:type="dxa"/>
            </w:tcMar>
            <w:vAlign w:val="center"/>
          </w:tcPr>
          <w:p>
            <w:pPr>
              <w:jc w:val="center"/>
            </w:pPr>
            <w:r>
              <w:rPr>
                <w:sz w:val="16"/>
              </w:rPr>
              <w:t>+0.50396 V</w:t>
            </w:r>
          </w:p>
        </w:tc>
        <w:tc>
          <w:tcPr>
            <w:tcW w:type="dxa" w:w="5328"/>
            <w:tcMar>
              <w:top w:w="100" w:type="dxa"/>
              <w:start w:w="110" w:type="dxa"/>
              <w:bottom w:w="100" w:type="dxa"/>
              <w:end w:w="110" w:type="dxa"/>
            </w:tcMar>
            <w:vAlign w:val="center"/>
          </w:tcPr>
          <w:p>
            <w:pPr>
              <w:jc w:val="center"/>
            </w:pPr>
            <w:r>
              <w:rPr>
                <w:sz w:val="16"/>
              </w:rPr>
              <w:t>Near expected +0.5 V peak</w:t>
            </w:r>
          </w:p>
        </w:tc>
      </w:tr>
      <w:tr>
        <w:tc>
          <w:tcPr>
            <w:tcW w:type="dxa" w:w="2304"/>
            <w:tcMar>
              <w:top w:w="100" w:type="dxa"/>
              <w:start w:w="110" w:type="dxa"/>
              <w:bottom w:w="100" w:type="dxa"/>
              <w:end w:w="110" w:type="dxa"/>
            </w:tcMar>
            <w:vAlign w:val="center"/>
            <w:shd w:fill="F2F4F6"/>
          </w:tcPr>
          <w:p>
            <w:pPr>
              <w:jc w:val="left"/>
            </w:pPr>
            <w:r>
              <w:rPr>
                <w:sz w:val="16"/>
              </w:rPr>
              <w:t>Minimum</w:t>
            </w:r>
          </w:p>
        </w:tc>
        <w:tc>
          <w:tcPr>
            <w:tcW w:type="dxa" w:w="2448"/>
            <w:tcMar>
              <w:top w:w="100" w:type="dxa"/>
              <w:start w:w="110" w:type="dxa"/>
              <w:bottom w:w="100" w:type="dxa"/>
              <w:end w:w="110" w:type="dxa"/>
            </w:tcMar>
            <w:vAlign w:val="center"/>
            <w:shd w:fill="F2F4F6"/>
          </w:tcPr>
          <w:p>
            <w:pPr>
              <w:jc w:val="center"/>
            </w:pPr>
            <w:r>
              <w:rPr>
                <w:sz w:val="16"/>
              </w:rPr>
              <w:t>−0.50196 V</w:t>
            </w:r>
          </w:p>
        </w:tc>
        <w:tc>
          <w:tcPr>
            <w:tcW w:type="dxa" w:w="5328"/>
            <w:tcMar>
              <w:top w:w="100" w:type="dxa"/>
              <w:start w:w="110" w:type="dxa"/>
              <w:bottom w:w="100" w:type="dxa"/>
              <w:end w:w="110" w:type="dxa"/>
            </w:tcMar>
            <w:vAlign w:val="center"/>
            <w:shd w:fill="F2F4F6"/>
          </w:tcPr>
          <w:p>
            <w:pPr>
              <w:jc w:val="center"/>
            </w:pPr>
            <w:r>
              <w:rPr>
                <w:sz w:val="16"/>
              </w:rPr>
              <w:t>Near expected −0.5 V peak</w:t>
            </w:r>
          </w:p>
        </w:tc>
      </w:tr>
      <w:tr>
        <w:tc>
          <w:tcPr>
            <w:tcW w:type="dxa" w:w="2304"/>
            <w:tcMar>
              <w:top w:w="100" w:type="dxa"/>
              <w:start w:w="110" w:type="dxa"/>
              <w:bottom w:w="100" w:type="dxa"/>
              <w:end w:w="110" w:type="dxa"/>
            </w:tcMar>
            <w:vAlign w:val="center"/>
          </w:tcPr>
          <w:p>
            <w:pPr>
              <w:jc w:val="left"/>
            </w:pPr>
            <w:r>
              <w:rPr>
                <w:sz w:val="16"/>
              </w:rPr>
              <w:t>Peak-to-peak</w:t>
            </w:r>
          </w:p>
        </w:tc>
        <w:tc>
          <w:tcPr>
            <w:tcW w:type="dxa" w:w="2448"/>
            <w:tcMar>
              <w:top w:w="100" w:type="dxa"/>
              <w:start w:w="110" w:type="dxa"/>
              <w:bottom w:w="100" w:type="dxa"/>
              <w:end w:w="110" w:type="dxa"/>
            </w:tcMar>
            <w:vAlign w:val="center"/>
          </w:tcPr>
          <w:p>
            <w:pPr>
              <w:jc w:val="center"/>
            </w:pPr>
            <w:r>
              <w:rPr>
                <w:sz w:val="16"/>
              </w:rPr>
              <w:t>1.0059 V</w:t>
            </w:r>
          </w:p>
        </w:tc>
        <w:tc>
          <w:tcPr>
            <w:tcW w:type="dxa" w:w="5328"/>
            <w:tcMar>
              <w:top w:w="100" w:type="dxa"/>
              <w:start w:w="110" w:type="dxa"/>
              <w:bottom w:w="100" w:type="dxa"/>
              <w:end w:w="110" w:type="dxa"/>
            </w:tcMar>
            <w:vAlign w:val="center"/>
          </w:tcPr>
          <w:p>
            <w:pPr>
              <w:jc w:val="center"/>
            </w:pPr>
            <w:r>
              <w:rPr>
                <w:sz w:val="16"/>
              </w:rPr>
              <w:t>0.59% above 1.00 V command</w:t>
            </w:r>
          </w:p>
        </w:tc>
      </w:tr>
      <w:tr>
        <w:tc>
          <w:tcPr>
            <w:tcW w:type="dxa" w:w="2304"/>
            <w:tcMar>
              <w:top w:w="100" w:type="dxa"/>
              <w:start w:w="110" w:type="dxa"/>
              <w:bottom w:w="100" w:type="dxa"/>
              <w:end w:w="110" w:type="dxa"/>
            </w:tcMar>
            <w:vAlign w:val="center"/>
            <w:shd w:fill="F2F4F6"/>
          </w:tcPr>
          <w:p>
            <w:pPr>
              <w:jc w:val="left"/>
            </w:pPr>
            <w:r>
              <w:rPr>
                <w:sz w:val="16"/>
              </w:rPr>
              <w:t>Average</w:t>
            </w:r>
          </w:p>
        </w:tc>
        <w:tc>
          <w:tcPr>
            <w:tcW w:type="dxa" w:w="2448"/>
            <w:tcMar>
              <w:top w:w="100" w:type="dxa"/>
              <w:start w:w="110" w:type="dxa"/>
              <w:bottom w:w="100" w:type="dxa"/>
              <w:end w:w="110" w:type="dxa"/>
            </w:tcMar>
            <w:vAlign w:val="center"/>
            <w:shd w:fill="F2F4F6"/>
          </w:tcPr>
          <w:p>
            <w:pPr>
              <w:jc w:val="center"/>
            </w:pPr>
            <w:r>
              <w:rPr>
                <w:sz w:val="16"/>
              </w:rPr>
              <w:t>+1.818 mV</w:t>
            </w:r>
          </w:p>
        </w:tc>
        <w:tc>
          <w:tcPr>
            <w:tcW w:type="dxa" w:w="5328"/>
            <w:tcMar>
              <w:top w:w="100" w:type="dxa"/>
              <w:start w:w="110" w:type="dxa"/>
              <w:bottom w:w="100" w:type="dxa"/>
              <w:end w:w="110" w:type="dxa"/>
            </w:tcMar>
            <w:vAlign w:val="center"/>
            <w:shd w:fill="F2F4F6"/>
          </w:tcPr>
          <w:p>
            <w:pPr>
              <w:jc w:val="center"/>
            </w:pPr>
            <w:r>
              <w:rPr>
                <w:sz w:val="16"/>
              </w:rPr>
              <w:t>Essentially centered at ground</w:t>
            </w:r>
          </w:p>
        </w:tc>
      </w:tr>
      <w:tr>
        <w:tc>
          <w:tcPr>
            <w:tcW w:type="dxa" w:w="2304"/>
            <w:tcMar>
              <w:top w:w="100" w:type="dxa"/>
              <w:start w:w="110" w:type="dxa"/>
              <w:bottom w:w="100" w:type="dxa"/>
              <w:end w:w="110" w:type="dxa"/>
            </w:tcMar>
            <w:vAlign w:val="center"/>
          </w:tcPr>
          <w:p>
            <w:pPr>
              <w:jc w:val="left"/>
            </w:pPr>
            <w:r>
              <w:rPr>
                <w:sz w:val="16"/>
              </w:rPr>
              <w:t>Frequency</w:t>
            </w:r>
          </w:p>
        </w:tc>
        <w:tc>
          <w:tcPr>
            <w:tcW w:type="dxa" w:w="2448"/>
            <w:tcMar>
              <w:top w:w="100" w:type="dxa"/>
              <w:start w:w="110" w:type="dxa"/>
              <w:bottom w:w="100" w:type="dxa"/>
              <w:end w:w="110" w:type="dxa"/>
            </w:tcMar>
            <w:vAlign w:val="center"/>
          </w:tcPr>
          <w:p>
            <w:pPr>
              <w:jc w:val="center"/>
            </w:pPr>
            <w:r>
              <w:rPr>
                <w:sz w:val="16"/>
              </w:rPr>
              <w:t>999.05 Hz</w:t>
            </w:r>
          </w:p>
        </w:tc>
        <w:tc>
          <w:tcPr>
            <w:tcW w:type="dxa" w:w="5328"/>
            <w:tcMar>
              <w:top w:w="100" w:type="dxa"/>
              <w:start w:w="110" w:type="dxa"/>
              <w:bottom w:w="100" w:type="dxa"/>
              <w:end w:w="110" w:type="dxa"/>
            </w:tcMar>
            <w:vAlign w:val="center"/>
          </w:tcPr>
          <w:p>
            <w:pPr>
              <w:jc w:val="center"/>
            </w:pPr>
            <w:r>
              <w:rPr>
                <w:sz w:val="16"/>
              </w:rPr>
              <w:t>Matches 1 kHz command</w:t>
            </w:r>
          </w:p>
        </w:tc>
      </w:tr>
    </w:tbl>
    <w:p>
      <w:pPr>
        <w:spacing w:after="0"/>
      </w:pPr>
    </w:p>
    <w:p>
      <w:r>
        <w:t>A two-channel capture showed DC OUT at approximately 0.992 Vpp centered at 2.343 V and AC OUT at approximately 0.994 Vpp centered near 0 V. The stage removed the bias while preserving waveform amplitude and phase.</w:t>
      </w:r>
    </w:p>
    <w:p>
      <w:pPr>
        <w:pStyle w:val="Heading1"/>
      </w:pPr>
      <w:r>
        <w:t>6. No-added-load frequency sweep</w:t>
      </w:r>
    </w:p>
    <w:tbl>
      <w:tblPr>
        <w:tblW w:type="auto" w:w="0"/>
        <w:jc w:val="center"/>
        <w:tblLayout w:type="fixed"/>
        <w:tblLook w:firstColumn="1" w:firstRow="1" w:lastColumn="0" w:lastRow="0" w:noHBand="0" w:noVBand="1" w:val="04A0"/>
        <w:tblBorders>
          <w:top w:val="single" w:sz="5" w:color="C8D0D8"/>
          <w:left w:val="single" w:sz="5" w:color="C8D0D8"/>
          <w:bottom w:val="single" w:sz="5" w:color="C8D0D8"/>
          <w:right w:val="single" w:sz="5" w:color="C8D0D8"/>
          <w:insideH w:val="single" w:sz="5" w:color="C8D0D8"/>
          <w:insideV w:val="single" w:sz="5" w:color="C8D0D8"/>
        </w:tblBorders>
      </w:tblPr>
      <w:tblGrid>
        <w:gridCol w:w="1694"/>
        <w:gridCol w:w="1694"/>
        <w:gridCol w:w="1694"/>
        <w:gridCol w:w="1694"/>
        <w:gridCol w:w="1694"/>
        <w:gridCol w:w="1694"/>
      </w:tblGrid>
      <w:tr>
        <w:trPr>
          <w:tblHeader w:val="true"/>
        </w:trPr>
        <w:tc>
          <w:tcPr>
            <w:tcW w:type="dxa" w:w="1224"/>
            <w:shd w:fill="17324D"/>
            <w:tcMar>
              <w:top w:w="100" w:type="dxa"/>
              <w:start w:w="110" w:type="dxa"/>
              <w:bottom w:w="100" w:type="dxa"/>
              <w:end w:w="110" w:type="dxa"/>
            </w:tcMar>
            <w:vAlign w:val="center"/>
          </w:tcPr>
          <w:p>
            <w:pPr>
              <w:jc w:val="center"/>
            </w:pPr>
            <w:r>
              <w:rPr>
                <w:b/>
                <w:color w:val="FFFFFF"/>
                <w:sz w:val="16"/>
              </w:rPr>
              <w:t>Set f</w:t>
            </w:r>
          </w:p>
        </w:tc>
        <w:tc>
          <w:tcPr>
            <w:tcW w:type="dxa" w:w="1512"/>
            <w:shd w:fill="17324D"/>
            <w:tcMar>
              <w:top w:w="100" w:type="dxa"/>
              <w:start w:w="110" w:type="dxa"/>
              <w:bottom w:w="100" w:type="dxa"/>
              <w:end w:w="110" w:type="dxa"/>
            </w:tcMar>
            <w:vAlign w:val="center"/>
          </w:tcPr>
          <w:p>
            <w:pPr>
              <w:jc w:val="center"/>
            </w:pPr>
            <w:r>
              <w:rPr>
                <w:b/>
                <w:color w:val="FFFFFF"/>
                <w:sz w:val="16"/>
              </w:rPr>
              <w:t>AC Vpp</w:t>
            </w:r>
          </w:p>
        </w:tc>
        <w:tc>
          <w:tcPr>
            <w:tcW w:type="dxa" w:w="1512"/>
            <w:shd w:fill="17324D"/>
            <w:tcMar>
              <w:top w:w="100" w:type="dxa"/>
              <w:start w:w="110" w:type="dxa"/>
              <w:bottom w:w="100" w:type="dxa"/>
              <w:end w:w="110" w:type="dxa"/>
            </w:tcMar>
            <w:vAlign w:val="center"/>
          </w:tcPr>
          <w:p>
            <w:pPr>
              <w:jc w:val="center"/>
            </w:pPr>
            <w:r>
              <w:rPr>
                <w:b/>
                <w:color w:val="FFFFFF"/>
                <w:sz w:val="16"/>
              </w:rPr>
              <w:t>DC Vpp</w:t>
            </w:r>
          </w:p>
        </w:tc>
        <w:tc>
          <w:tcPr>
            <w:tcW w:type="dxa" w:w="1440"/>
            <w:shd w:fill="17324D"/>
            <w:tcMar>
              <w:top w:w="100" w:type="dxa"/>
              <w:start w:w="110" w:type="dxa"/>
              <w:bottom w:w="100" w:type="dxa"/>
              <w:end w:w="110" w:type="dxa"/>
            </w:tcMar>
            <w:vAlign w:val="center"/>
          </w:tcPr>
          <w:p>
            <w:pPr>
              <w:jc w:val="center"/>
            </w:pPr>
            <w:r>
              <w:rPr>
                <w:b/>
                <w:color w:val="FFFFFF"/>
                <w:sz w:val="16"/>
              </w:rPr>
              <w:t>AC/DC</w:t>
            </w:r>
          </w:p>
        </w:tc>
        <w:tc>
          <w:tcPr>
            <w:tcW w:type="dxa" w:w="2016"/>
            <w:shd w:fill="17324D"/>
            <w:tcMar>
              <w:top w:w="100" w:type="dxa"/>
              <w:start w:w="110" w:type="dxa"/>
              <w:bottom w:w="100" w:type="dxa"/>
              <w:end w:w="110" w:type="dxa"/>
            </w:tcMar>
            <w:vAlign w:val="center"/>
          </w:tcPr>
          <w:p>
            <w:pPr>
              <w:jc w:val="center"/>
            </w:pPr>
            <w:r>
              <w:rPr>
                <w:b/>
                <w:color w:val="FFFFFF"/>
                <w:sz w:val="16"/>
              </w:rPr>
              <w:t>AC average</w:t>
            </w:r>
          </w:p>
        </w:tc>
        <w:tc>
          <w:tcPr>
            <w:tcW w:type="dxa" w:w="1296"/>
            <w:shd w:fill="17324D"/>
            <w:tcMar>
              <w:top w:w="100" w:type="dxa"/>
              <w:start w:w="110" w:type="dxa"/>
              <w:bottom w:w="100" w:type="dxa"/>
              <w:end w:w="110" w:type="dxa"/>
            </w:tcMar>
            <w:vAlign w:val="center"/>
          </w:tcPr>
          <w:p>
            <w:pPr>
              <w:jc w:val="center"/>
            </w:pPr>
            <w:r>
              <w:rPr>
                <w:b/>
                <w:color w:val="FFFFFF"/>
                <w:sz w:val="16"/>
              </w:rPr>
              <w:t>Phase</w:t>
            </w:r>
          </w:p>
        </w:tc>
      </w:tr>
      <w:tr>
        <w:tc>
          <w:tcPr>
            <w:tcW w:type="dxa" w:w="1224"/>
            <w:tcMar>
              <w:top w:w="100" w:type="dxa"/>
              <w:start w:w="110" w:type="dxa"/>
              <w:bottom w:w="100" w:type="dxa"/>
              <w:end w:w="110" w:type="dxa"/>
            </w:tcMar>
            <w:vAlign w:val="center"/>
          </w:tcPr>
          <w:p>
            <w:pPr>
              <w:jc w:val="left"/>
            </w:pPr>
            <w:r>
              <w:rPr>
                <w:sz w:val="16"/>
              </w:rPr>
              <w:t>10 Hz</w:t>
            </w:r>
          </w:p>
        </w:tc>
        <w:tc>
          <w:tcPr>
            <w:tcW w:type="dxa" w:w="1512"/>
            <w:tcMar>
              <w:top w:w="100" w:type="dxa"/>
              <w:start w:w="110" w:type="dxa"/>
              <w:bottom w:w="100" w:type="dxa"/>
              <w:end w:w="110" w:type="dxa"/>
            </w:tcMar>
            <w:vAlign w:val="center"/>
          </w:tcPr>
          <w:p>
            <w:pPr>
              <w:jc w:val="center"/>
            </w:pPr>
            <w:r>
              <w:rPr>
                <w:sz w:val="16"/>
              </w:rPr>
              <w:t>0.9473</w:t>
            </w:r>
          </w:p>
        </w:tc>
        <w:tc>
          <w:tcPr>
            <w:tcW w:type="dxa" w:w="1512"/>
            <w:tcMar>
              <w:top w:w="100" w:type="dxa"/>
              <w:start w:w="110" w:type="dxa"/>
              <w:bottom w:w="100" w:type="dxa"/>
              <w:end w:w="110" w:type="dxa"/>
            </w:tcMar>
            <w:vAlign w:val="center"/>
          </w:tcPr>
          <w:p>
            <w:pPr>
              <w:jc w:val="center"/>
            </w:pPr>
            <w:r>
              <w:rPr>
                <w:sz w:val="16"/>
              </w:rPr>
              <w:t>0.9505</w:t>
            </w:r>
          </w:p>
        </w:tc>
        <w:tc>
          <w:tcPr>
            <w:tcW w:type="dxa" w:w="1440"/>
            <w:tcMar>
              <w:top w:w="100" w:type="dxa"/>
              <w:start w:w="110" w:type="dxa"/>
              <w:bottom w:w="100" w:type="dxa"/>
              <w:end w:w="110" w:type="dxa"/>
            </w:tcMar>
            <w:vAlign w:val="center"/>
          </w:tcPr>
          <w:p>
            <w:pPr>
              <w:jc w:val="center"/>
            </w:pPr>
            <w:r>
              <w:rPr>
                <w:sz w:val="16"/>
              </w:rPr>
              <w:t>99.67%</w:t>
            </w:r>
          </w:p>
        </w:tc>
        <w:tc>
          <w:tcPr>
            <w:tcW w:type="dxa" w:w="2016"/>
            <w:tcMar>
              <w:top w:w="100" w:type="dxa"/>
              <w:start w:w="110" w:type="dxa"/>
              <w:bottom w:w="100" w:type="dxa"/>
              <w:end w:w="110" w:type="dxa"/>
            </w:tcMar>
            <w:vAlign w:val="center"/>
          </w:tcPr>
          <w:p>
            <w:pPr>
              <w:jc w:val="center"/>
            </w:pPr>
            <w:r>
              <w:rPr>
                <w:sz w:val="16"/>
              </w:rPr>
              <w:t>+1.72 mV</w:t>
            </w:r>
          </w:p>
        </w:tc>
        <w:tc>
          <w:tcPr>
            <w:tcW w:type="dxa" w:w="1296"/>
            <w:tcMar>
              <w:top w:w="100" w:type="dxa"/>
              <w:start w:w="110" w:type="dxa"/>
              <w:bottom w:w="100" w:type="dxa"/>
              <w:end w:w="110" w:type="dxa"/>
            </w:tcMar>
            <w:vAlign w:val="center"/>
          </w:tcPr>
          <w:p>
            <w:pPr>
              <w:jc w:val="center"/>
            </w:pPr>
            <w:r>
              <w:rPr>
                <w:sz w:val="16"/>
              </w:rPr>
              <w:t>0.254°</w:t>
            </w:r>
          </w:p>
        </w:tc>
      </w:tr>
      <w:tr>
        <w:tc>
          <w:tcPr>
            <w:tcW w:type="dxa" w:w="1224"/>
            <w:tcMar>
              <w:top w:w="100" w:type="dxa"/>
              <w:start w:w="110" w:type="dxa"/>
              <w:bottom w:w="100" w:type="dxa"/>
              <w:end w:w="110" w:type="dxa"/>
            </w:tcMar>
            <w:vAlign w:val="center"/>
            <w:shd w:fill="F2F4F6"/>
          </w:tcPr>
          <w:p>
            <w:pPr>
              <w:jc w:val="left"/>
            </w:pPr>
            <w:r>
              <w:rPr>
                <w:sz w:val="16"/>
              </w:rPr>
              <w:t>100 Hz</w:t>
            </w:r>
          </w:p>
        </w:tc>
        <w:tc>
          <w:tcPr>
            <w:tcW w:type="dxa" w:w="1512"/>
            <w:tcMar>
              <w:top w:w="100" w:type="dxa"/>
              <w:start w:w="110" w:type="dxa"/>
              <w:bottom w:w="100" w:type="dxa"/>
              <w:end w:w="110" w:type="dxa"/>
            </w:tcMar>
            <w:vAlign w:val="center"/>
            <w:shd w:fill="F2F4F6"/>
          </w:tcPr>
          <w:p>
            <w:pPr>
              <w:jc w:val="center"/>
            </w:pPr>
            <w:r>
              <w:rPr>
                <w:sz w:val="16"/>
              </w:rPr>
              <w:t>0.9560</w:t>
            </w:r>
          </w:p>
        </w:tc>
        <w:tc>
          <w:tcPr>
            <w:tcW w:type="dxa" w:w="1512"/>
            <w:tcMar>
              <w:top w:w="100" w:type="dxa"/>
              <w:start w:w="110" w:type="dxa"/>
              <w:bottom w:w="100" w:type="dxa"/>
              <w:end w:w="110" w:type="dxa"/>
            </w:tcMar>
            <w:vAlign w:val="center"/>
            <w:shd w:fill="F2F4F6"/>
          </w:tcPr>
          <w:p>
            <w:pPr>
              <w:jc w:val="center"/>
            </w:pPr>
            <w:r>
              <w:rPr>
                <w:sz w:val="16"/>
              </w:rPr>
              <w:t>0.9606</w:t>
            </w:r>
          </w:p>
        </w:tc>
        <w:tc>
          <w:tcPr>
            <w:tcW w:type="dxa" w:w="1440"/>
            <w:tcMar>
              <w:top w:w="100" w:type="dxa"/>
              <w:start w:w="110" w:type="dxa"/>
              <w:bottom w:w="100" w:type="dxa"/>
              <w:end w:w="110" w:type="dxa"/>
            </w:tcMar>
            <w:vAlign w:val="center"/>
            <w:shd w:fill="F2F4F6"/>
          </w:tcPr>
          <w:p>
            <w:pPr>
              <w:jc w:val="center"/>
            </w:pPr>
            <w:r>
              <w:rPr>
                <w:sz w:val="16"/>
              </w:rPr>
              <w:t>99.52%</w:t>
            </w:r>
          </w:p>
        </w:tc>
        <w:tc>
          <w:tcPr>
            <w:tcW w:type="dxa" w:w="2016"/>
            <w:tcMar>
              <w:top w:w="100" w:type="dxa"/>
              <w:start w:w="110" w:type="dxa"/>
              <w:bottom w:w="100" w:type="dxa"/>
              <w:end w:w="110" w:type="dxa"/>
            </w:tcMar>
            <w:vAlign w:val="center"/>
            <w:shd w:fill="F2F4F6"/>
          </w:tcPr>
          <w:p>
            <w:pPr>
              <w:jc w:val="center"/>
            </w:pPr>
            <w:r>
              <w:rPr>
                <w:sz w:val="16"/>
              </w:rPr>
              <w:t>+1.92 mV</w:t>
            </w:r>
          </w:p>
        </w:tc>
        <w:tc>
          <w:tcPr>
            <w:tcW w:type="dxa" w:w="1296"/>
            <w:tcMar>
              <w:top w:w="100" w:type="dxa"/>
              <w:start w:w="110" w:type="dxa"/>
              <w:bottom w:w="100" w:type="dxa"/>
              <w:end w:w="110" w:type="dxa"/>
            </w:tcMar>
            <w:vAlign w:val="center"/>
            <w:shd w:fill="F2F4F6"/>
          </w:tcPr>
          <w:p>
            <w:pPr>
              <w:jc w:val="center"/>
            </w:pPr>
            <w:r>
              <w:rPr>
                <w:sz w:val="16"/>
              </w:rPr>
              <w:t>0.245°</w:t>
            </w:r>
          </w:p>
        </w:tc>
      </w:tr>
      <w:tr>
        <w:tc>
          <w:tcPr>
            <w:tcW w:type="dxa" w:w="1224"/>
            <w:tcMar>
              <w:top w:w="100" w:type="dxa"/>
              <w:start w:w="110" w:type="dxa"/>
              <w:bottom w:w="100" w:type="dxa"/>
              <w:end w:w="110" w:type="dxa"/>
            </w:tcMar>
            <w:vAlign w:val="center"/>
          </w:tcPr>
          <w:p>
            <w:pPr>
              <w:jc w:val="left"/>
            </w:pPr>
            <w:r>
              <w:rPr>
                <w:sz w:val="16"/>
              </w:rPr>
              <w:t>1 kHz</w:t>
            </w:r>
          </w:p>
        </w:tc>
        <w:tc>
          <w:tcPr>
            <w:tcW w:type="dxa" w:w="1512"/>
            <w:tcMar>
              <w:top w:w="100" w:type="dxa"/>
              <w:start w:w="110" w:type="dxa"/>
              <w:bottom w:w="100" w:type="dxa"/>
              <w:end w:w="110" w:type="dxa"/>
            </w:tcMar>
            <w:vAlign w:val="center"/>
          </w:tcPr>
          <w:p>
            <w:pPr>
              <w:jc w:val="center"/>
            </w:pPr>
            <w:r>
              <w:rPr>
                <w:sz w:val="16"/>
              </w:rPr>
              <w:t>0.9936</w:t>
            </w:r>
          </w:p>
        </w:tc>
        <w:tc>
          <w:tcPr>
            <w:tcW w:type="dxa" w:w="1512"/>
            <w:tcMar>
              <w:top w:w="100" w:type="dxa"/>
              <w:start w:w="110" w:type="dxa"/>
              <w:bottom w:w="100" w:type="dxa"/>
              <w:end w:w="110" w:type="dxa"/>
            </w:tcMar>
            <w:vAlign w:val="center"/>
          </w:tcPr>
          <w:p>
            <w:pPr>
              <w:jc w:val="center"/>
            </w:pPr>
            <w:r>
              <w:rPr>
                <w:sz w:val="16"/>
              </w:rPr>
              <w:t>0.9952</w:t>
            </w:r>
          </w:p>
        </w:tc>
        <w:tc>
          <w:tcPr>
            <w:tcW w:type="dxa" w:w="1440"/>
            <w:tcMar>
              <w:top w:w="100" w:type="dxa"/>
              <w:start w:w="110" w:type="dxa"/>
              <w:bottom w:w="100" w:type="dxa"/>
              <w:end w:w="110" w:type="dxa"/>
            </w:tcMar>
            <w:vAlign w:val="center"/>
          </w:tcPr>
          <w:p>
            <w:pPr>
              <w:jc w:val="center"/>
            </w:pPr>
            <w:r>
              <w:rPr>
                <w:sz w:val="16"/>
              </w:rPr>
              <w:t>99.84%</w:t>
            </w:r>
          </w:p>
        </w:tc>
        <w:tc>
          <w:tcPr>
            <w:tcW w:type="dxa" w:w="2016"/>
            <w:tcMar>
              <w:top w:w="100" w:type="dxa"/>
              <w:start w:w="110" w:type="dxa"/>
              <w:bottom w:w="100" w:type="dxa"/>
              <w:end w:w="110" w:type="dxa"/>
            </w:tcMar>
            <w:vAlign w:val="center"/>
          </w:tcPr>
          <w:p>
            <w:pPr>
              <w:jc w:val="center"/>
            </w:pPr>
            <w:r>
              <w:rPr>
                <w:sz w:val="16"/>
              </w:rPr>
              <w:t>+1.97 mV</w:t>
            </w:r>
          </w:p>
        </w:tc>
        <w:tc>
          <w:tcPr>
            <w:tcW w:type="dxa" w:w="1296"/>
            <w:tcMar>
              <w:top w:w="100" w:type="dxa"/>
              <w:start w:w="110" w:type="dxa"/>
              <w:bottom w:w="100" w:type="dxa"/>
              <w:end w:w="110" w:type="dxa"/>
            </w:tcMar>
            <w:vAlign w:val="center"/>
          </w:tcPr>
          <w:p>
            <w:pPr>
              <w:jc w:val="center"/>
            </w:pPr>
            <w:r>
              <w:rPr>
                <w:sz w:val="16"/>
              </w:rPr>
              <w:t>0.205°</w:t>
            </w:r>
          </w:p>
        </w:tc>
      </w:tr>
      <w:tr>
        <w:tc>
          <w:tcPr>
            <w:tcW w:type="dxa" w:w="1224"/>
            <w:tcMar>
              <w:top w:w="100" w:type="dxa"/>
              <w:start w:w="110" w:type="dxa"/>
              <w:bottom w:w="100" w:type="dxa"/>
              <w:end w:w="110" w:type="dxa"/>
            </w:tcMar>
            <w:vAlign w:val="center"/>
            <w:shd w:fill="F2F4F6"/>
          </w:tcPr>
          <w:p>
            <w:pPr>
              <w:jc w:val="left"/>
            </w:pPr>
            <w:r>
              <w:rPr>
                <w:sz w:val="16"/>
              </w:rPr>
              <w:t>10 kHz</w:t>
            </w:r>
          </w:p>
        </w:tc>
        <w:tc>
          <w:tcPr>
            <w:tcW w:type="dxa" w:w="1512"/>
            <w:tcMar>
              <w:top w:w="100" w:type="dxa"/>
              <w:start w:w="110" w:type="dxa"/>
              <w:bottom w:w="100" w:type="dxa"/>
              <w:end w:w="110" w:type="dxa"/>
            </w:tcMar>
            <w:vAlign w:val="center"/>
            <w:shd w:fill="F2F4F6"/>
          </w:tcPr>
          <w:p>
            <w:pPr>
              <w:jc w:val="center"/>
            </w:pPr>
            <w:r>
              <w:rPr>
                <w:sz w:val="16"/>
              </w:rPr>
              <w:t>0.9966</w:t>
            </w:r>
          </w:p>
        </w:tc>
        <w:tc>
          <w:tcPr>
            <w:tcW w:type="dxa" w:w="1512"/>
            <w:tcMar>
              <w:top w:w="100" w:type="dxa"/>
              <w:start w:w="110" w:type="dxa"/>
              <w:bottom w:w="100" w:type="dxa"/>
              <w:end w:w="110" w:type="dxa"/>
            </w:tcMar>
            <w:vAlign w:val="center"/>
            <w:shd w:fill="F2F4F6"/>
          </w:tcPr>
          <w:p>
            <w:pPr>
              <w:jc w:val="center"/>
            </w:pPr>
            <w:r>
              <w:rPr>
                <w:sz w:val="16"/>
              </w:rPr>
              <w:t>0.9982</w:t>
            </w:r>
          </w:p>
        </w:tc>
        <w:tc>
          <w:tcPr>
            <w:tcW w:type="dxa" w:w="1440"/>
            <w:tcMar>
              <w:top w:w="100" w:type="dxa"/>
              <w:start w:w="110" w:type="dxa"/>
              <w:bottom w:w="100" w:type="dxa"/>
              <w:end w:w="110" w:type="dxa"/>
            </w:tcMar>
            <w:vAlign w:val="center"/>
            <w:shd w:fill="F2F4F6"/>
          </w:tcPr>
          <w:p>
            <w:pPr>
              <w:jc w:val="center"/>
            </w:pPr>
            <w:r>
              <w:rPr>
                <w:sz w:val="16"/>
              </w:rPr>
              <w:t>99.84%</w:t>
            </w:r>
          </w:p>
        </w:tc>
        <w:tc>
          <w:tcPr>
            <w:tcW w:type="dxa" w:w="2016"/>
            <w:tcMar>
              <w:top w:w="100" w:type="dxa"/>
              <w:start w:w="110" w:type="dxa"/>
              <w:bottom w:w="100" w:type="dxa"/>
              <w:end w:w="110" w:type="dxa"/>
            </w:tcMar>
            <w:vAlign w:val="center"/>
            <w:shd w:fill="F2F4F6"/>
          </w:tcPr>
          <w:p>
            <w:pPr>
              <w:jc w:val="center"/>
            </w:pPr>
            <w:r>
              <w:rPr>
                <w:sz w:val="16"/>
              </w:rPr>
              <w:t>+2.00 mV</w:t>
            </w:r>
          </w:p>
        </w:tc>
        <w:tc>
          <w:tcPr>
            <w:tcW w:type="dxa" w:w="1296"/>
            <w:tcMar>
              <w:top w:w="100" w:type="dxa"/>
              <w:start w:w="110" w:type="dxa"/>
              <w:bottom w:w="100" w:type="dxa"/>
              <w:end w:w="110" w:type="dxa"/>
            </w:tcMar>
            <w:vAlign w:val="center"/>
            <w:shd w:fill="F2F4F6"/>
          </w:tcPr>
          <w:p>
            <w:pPr>
              <w:jc w:val="center"/>
            </w:pPr>
            <w:r>
              <w:rPr>
                <w:sz w:val="16"/>
              </w:rPr>
              <w:t>0.311°</w:t>
            </w:r>
          </w:p>
        </w:tc>
      </w:tr>
      <w:tr>
        <w:tc>
          <w:tcPr>
            <w:tcW w:type="dxa" w:w="1224"/>
            <w:tcMar>
              <w:top w:w="100" w:type="dxa"/>
              <w:start w:w="110" w:type="dxa"/>
              <w:bottom w:w="100" w:type="dxa"/>
              <w:end w:w="110" w:type="dxa"/>
            </w:tcMar>
            <w:vAlign w:val="center"/>
          </w:tcPr>
          <w:p>
            <w:pPr>
              <w:jc w:val="left"/>
            </w:pPr>
            <w:r>
              <w:rPr>
                <w:sz w:val="16"/>
              </w:rPr>
              <w:t>50 kHz</w:t>
            </w:r>
          </w:p>
        </w:tc>
        <w:tc>
          <w:tcPr>
            <w:tcW w:type="dxa" w:w="1512"/>
            <w:tcMar>
              <w:top w:w="100" w:type="dxa"/>
              <w:start w:w="110" w:type="dxa"/>
              <w:bottom w:w="100" w:type="dxa"/>
              <w:end w:w="110" w:type="dxa"/>
            </w:tcMar>
            <w:vAlign w:val="center"/>
          </w:tcPr>
          <w:p>
            <w:pPr>
              <w:jc w:val="center"/>
            </w:pPr>
            <w:r>
              <w:rPr>
                <w:sz w:val="16"/>
              </w:rPr>
              <w:t>0.9874</w:t>
            </w:r>
          </w:p>
        </w:tc>
        <w:tc>
          <w:tcPr>
            <w:tcW w:type="dxa" w:w="1512"/>
            <w:tcMar>
              <w:top w:w="100" w:type="dxa"/>
              <w:start w:w="110" w:type="dxa"/>
              <w:bottom w:w="100" w:type="dxa"/>
              <w:end w:w="110" w:type="dxa"/>
            </w:tcMar>
            <w:vAlign w:val="center"/>
          </w:tcPr>
          <w:p>
            <w:pPr>
              <w:jc w:val="center"/>
            </w:pPr>
            <w:r>
              <w:rPr>
                <w:sz w:val="16"/>
              </w:rPr>
              <w:t>0.9888</w:t>
            </w:r>
          </w:p>
        </w:tc>
        <w:tc>
          <w:tcPr>
            <w:tcW w:type="dxa" w:w="1440"/>
            <w:tcMar>
              <w:top w:w="100" w:type="dxa"/>
              <w:start w:w="110" w:type="dxa"/>
              <w:bottom w:w="100" w:type="dxa"/>
              <w:end w:w="110" w:type="dxa"/>
            </w:tcMar>
            <w:vAlign w:val="center"/>
          </w:tcPr>
          <w:p>
            <w:pPr>
              <w:jc w:val="center"/>
            </w:pPr>
            <w:r>
              <w:rPr>
                <w:sz w:val="16"/>
              </w:rPr>
              <w:t>99.86%</w:t>
            </w:r>
          </w:p>
        </w:tc>
        <w:tc>
          <w:tcPr>
            <w:tcW w:type="dxa" w:w="2016"/>
            <w:tcMar>
              <w:top w:w="100" w:type="dxa"/>
              <w:start w:w="110" w:type="dxa"/>
              <w:bottom w:w="100" w:type="dxa"/>
              <w:end w:w="110" w:type="dxa"/>
            </w:tcMar>
            <w:vAlign w:val="center"/>
          </w:tcPr>
          <w:p>
            <w:pPr>
              <w:jc w:val="center"/>
            </w:pPr>
            <w:r>
              <w:rPr>
                <w:sz w:val="16"/>
              </w:rPr>
              <w:t>−0.64 mV</w:t>
            </w:r>
          </w:p>
        </w:tc>
        <w:tc>
          <w:tcPr>
            <w:tcW w:type="dxa" w:w="1296"/>
            <w:tcMar>
              <w:top w:w="100" w:type="dxa"/>
              <w:start w:w="110" w:type="dxa"/>
              <w:bottom w:w="100" w:type="dxa"/>
              <w:end w:w="110" w:type="dxa"/>
            </w:tcMar>
            <w:vAlign w:val="center"/>
          </w:tcPr>
          <w:p>
            <w:pPr>
              <w:jc w:val="center"/>
            </w:pPr>
            <w:r>
              <w:rPr>
                <w:sz w:val="16"/>
              </w:rPr>
              <w:t>0.473°</w:t>
            </w:r>
          </w:p>
        </w:tc>
      </w:tr>
      <w:tr>
        <w:tc>
          <w:tcPr>
            <w:tcW w:type="dxa" w:w="1224"/>
            <w:tcMar>
              <w:top w:w="100" w:type="dxa"/>
              <w:start w:w="110" w:type="dxa"/>
              <w:bottom w:w="100" w:type="dxa"/>
              <w:end w:w="110" w:type="dxa"/>
            </w:tcMar>
            <w:vAlign w:val="center"/>
            <w:shd w:fill="F2F4F6"/>
          </w:tcPr>
          <w:p>
            <w:pPr>
              <w:jc w:val="left"/>
            </w:pPr>
            <w:r>
              <w:rPr>
                <w:sz w:val="16"/>
              </w:rPr>
              <w:t>100 kHz</w:t>
            </w:r>
          </w:p>
        </w:tc>
        <w:tc>
          <w:tcPr>
            <w:tcW w:type="dxa" w:w="1512"/>
            <w:tcMar>
              <w:top w:w="100" w:type="dxa"/>
              <w:start w:w="110" w:type="dxa"/>
              <w:bottom w:w="100" w:type="dxa"/>
              <w:end w:w="110" w:type="dxa"/>
            </w:tcMar>
            <w:vAlign w:val="center"/>
            <w:shd w:fill="F2F4F6"/>
          </w:tcPr>
          <w:p>
            <w:pPr>
              <w:jc w:val="center"/>
            </w:pPr>
            <w:r>
              <w:rPr>
                <w:sz w:val="16"/>
              </w:rPr>
              <w:t>0.9487</w:t>
            </w:r>
          </w:p>
        </w:tc>
        <w:tc>
          <w:tcPr>
            <w:tcW w:type="dxa" w:w="1512"/>
            <w:tcMar>
              <w:top w:w="100" w:type="dxa"/>
              <w:start w:w="110" w:type="dxa"/>
              <w:bottom w:w="100" w:type="dxa"/>
              <w:end w:w="110" w:type="dxa"/>
            </w:tcMar>
            <w:vAlign w:val="center"/>
            <w:shd w:fill="F2F4F6"/>
          </w:tcPr>
          <w:p>
            <w:pPr>
              <w:jc w:val="center"/>
            </w:pPr>
            <w:r>
              <w:rPr>
                <w:sz w:val="16"/>
              </w:rPr>
              <w:t>0.9504</w:t>
            </w:r>
          </w:p>
        </w:tc>
        <w:tc>
          <w:tcPr>
            <w:tcW w:type="dxa" w:w="1440"/>
            <w:tcMar>
              <w:top w:w="100" w:type="dxa"/>
              <w:start w:w="110" w:type="dxa"/>
              <w:bottom w:w="100" w:type="dxa"/>
              <w:end w:w="110" w:type="dxa"/>
            </w:tcMar>
            <w:vAlign w:val="center"/>
            <w:shd w:fill="F2F4F6"/>
          </w:tcPr>
          <w:p>
            <w:pPr>
              <w:jc w:val="center"/>
            </w:pPr>
            <w:r>
              <w:rPr>
                <w:sz w:val="16"/>
              </w:rPr>
              <w:t>99.83%</w:t>
            </w:r>
          </w:p>
        </w:tc>
        <w:tc>
          <w:tcPr>
            <w:tcW w:type="dxa" w:w="2016"/>
            <w:tcMar>
              <w:top w:w="100" w:type="dxa"/>
              <w:start w:w="110" w:type="dxa"/>
              <w:bottom w:w="100" w:type="dxa"/>
              <w:end w:w="110" w:type="dxa"/>
            </w:tcMar>
            <w:vAlign w:val="center"/>
            <w:shd w:fill="F2F4F6"/>
          </w:tcPr>
          <w:p>
            <w:pPr>
              <w:jc w:val="center"/>
            </w:pPr>
            <w:r>
              <w:rPr>
                <w:sz w:val="16"/>
              </w:rPr>
              <w:t>+1.72 mV</w:t>
            </w:r>
          </w:p>
        </w:tc>
        <w:tc>
          <w:tcPr>
            <w:tcW w:type="dxa" w:w="1296"/>
            <w:tcMar>
              <w:top w:w="100" w:type="dxa"/>
              <w:start w:w="110" w:type="dxa"/>
              <w:bottom w:w="100" w:type="dxa"/>
              <w:end w:w="110" w:type="dxa"/>
            </w:tcMar>
            <w:vAlign w:val="center"/>
            <w:shd w:fill="F2F4F6"/>
          </w:tcPr>
          <w:p>
            <w:pPr>
              <w:jc w:val="center"/>
            </w:pPr>
            <w:r>
              <w:rPr>
                <w:sz w:val="16"/>
              </w:rPr>
              <w:t>0.552°</w:t>
            </w:r>
          </w:p>
        </w:tc>
      </w:tr>
      <w:tr>
        <w:tc>
          <w:tcPr>
            <w:tcW w:type="dxa" w:w="1224"/>
            <w:tcMar>
              <w:top w:w="100" w:type="dxa"/>
              <w:start w:w="110" w:type="dxa"/>
              <w:bottom w:w="100" w:type="dxa"/>
              <w:end w:w="110" w:type="dxa"/>
            </w:tcMar>
            <w:vAlign w:val="center"/>
          </w:tcPr>
          <w:p>
            <w:pPr>
              <w:jc w:val="left"/>
            </w:pPr>
            <w:r>
              <w:rPr>
                <w:sz w:val="16"/>
              </w:rPr>
              <w:t>200 kHz</w:t>
            </w:r>
          </w:p>
        </w:tc>
        <w:tc>
          <w:tcPr>
            <w:tcW w:type="dxa" w:w="1512"/>
            <w:tcMar>
              <w:top w:w="100" w:type="dxa"/>
              <w:start w:w="110" w:type="dxa"/>
              <w:bottom w:w="100" w:type="dxa"/>
              <w:end w:w="110" w:type="dxa"/>
            </w:tcMar>
            <w:vAlign w:val="center"/>
          </w:tcPr>
          <w:p>
            <w:pPr>
              <w:jc w:val="center"/>
            </w:pPr>
            <w:r>
              <w:rPr>
                <w:sz w:val="16"/>
              </w:rPr>
              <w:t>0.8427</w:t>
            </w:r>
          </w:p>
        </w:tc>
        <w:tc>
          <w:tcPr>
            <w:tcW w:type="dxa" w:w="1512"/>
            <w:tcMar>
              <w:top w:w="100" w:type="dxa"/>
              <w:start w:w="110" w:type="dxa"/>
              <w:bottom w:w="100" w:type="dxa"/>
              <w:end w:w="110" w:type="dxa"/>
            </w:tcMar>
            <w:vAlign w:val="center"/>
          </w:tcPr>
          <w:p>
            <w:pPr>
              <w:jc w:val="center"/>
            </w:pPr>
            <w:r>
              <w:rPr>
                <w:sz w:val="16"/>
              </w:rPr>
              <w:t>0.8310</w:t>
            </w:r>
          </w:p>
        </w:tc>
        <w:tc>
          <w:tcPr>
            <w:tcW w:type="dxa" w:w="1440"/>
            <w:tcMar>
              <w:top w:w="100" w:type="dxa"/>
              <w:start w:w="110" w:type="dxa"/>
              <w:bottom w:w="100" w:type="dxa"/>
              <w:end w:w="110" w:type="dxa"/>
            </w:tcMar>
            <w:vAlign w:val="center"/>
          </w:tcPr>
          <w:p>
            <w:pPr>
              <w:jc w:val="center"/>
            </w:pPr>
            <w:r>
              <w:rPr>
                <w:sz w:val="16"/>
              </w:rPr>
              <w:t>101.41%*</w:t>
            </w:r>
          </w:p>
        </w:tc>
        <w:tc>
          <w:tcPr>
            <w:tcW w:type="dxa" w:w="2016"/>
            <w:tcMar>
              <w:top w:w="100" w:type="dxa"/>
              <w:start w:w="110" w:type="dxa"/>
              <w:bottom w:w="100" w:type="dxa"/>
              <w:end w:w="110" w:type="dxa"/>
            </w:tcMar>
            <w:vAlign w:val="center"/>
          </w:tcPr>
          <w:p>
            <w:pPr>
              <w:jc w:val="center"/>
            </w:pPr>
            <w:r>
              <w:rPr>
                <w:sz w:val="16"/>
              </w:rPr>
              <w:t>+2.60 mV</w:t>
            </w:r>
          </w:p>
        </w:tc>
        <w:tc>
          <w:tcPr>
            <w:tcW w:type="dxa" w:w="1296"/>
            <w:tcMar>
              <w:top w:w="100" w:type="dxa"/>
              <w:start w:w="110" w:type="dxa"/>
              <w:bottom w:w="100" w:type="dxa"/>
              <w:end w:w="110" w:type="dxa"/>
            </w:tcMar>
            <w:vAlign w:val="center"/>
          </w:tcPr>
          <w:p>
            <w:pPr>
              <w:jc w:val="center"/>
            </w:pPr>
            <w:r>
              <w:rPr>
                <w:sz w:val="16"/>
              </w:rPr>
              <w:t>0.794°</w:t>
            </w:r>
          </w:p>
        </w:tc>
      </w:tr>
    </w:tbl>
    <w:p>
      <w:pPr>
        <w:spacing w:after="0"/>
      </w:pPr>
    </w:p>
    <w:p>
      <w:r>
        <w:t>*At 200 kHz the waveform was visibly distorted; automatic Vpp is sensitive to peaks and noise, so the apparent ratio above 100% is not passive gain.</w:t>
      </w:r>
    </w:p>
    <w:p>
      <w:pPr>
        <w:pStyle w:val="Heading2"/>
      </w:pPr>
      <w:r>
        <w:t>Frequency-sweep findings</w:t>
      </w:r>
    </w:p>
    <w:p>
      <w:pPr>
        <w:pStyle w:val="ListBullet"/>
      </w:pPr>
      <w:r>
        <w:t>AC OUT remained within approximately −0.6 mV to +2.6 mV of ground.</w:t>
      </w:r>
    </w:p>
    <w:p>
      <w:pPr>
        <w:pStyle w:val="ListBullet"/>
      </w:pPr>
      <w:r>
        <w:t>From 10 Hz through 100 kHz, AC OUT differed from DC OUT by less than 0.5%.</w:t>
      </w:r>
    </w:p>
    <w:p>
      <w:pPr>
        <w:pStyle w:val="ListBullet"/>
      </w:pPr>
      <w:r>
        <w:t>Phase difference stayed below 0.8° at every tested point.</w:t>
      </w:r>
    </w:p>
    <w:p>
      <w:pPr>
        <w:pStyle w:val="ListBullet"/>
      </w:pPr>
      <w:r>
        <w:t>No visible low-frequency droop occurred at 10 Hz.</w:t>
      </w:r>
    </w:p>
    <w:p>
      <w:pPr>
        <w:pStyle w:val="ListBullet"/>
      </w:pPr>
      <w:r>
        <w:t>Amplitude reduction and distortion near 200 kHz appeared on both outputs and therefore originate primarily in the upstream DDS/amplifier path.</w:t>
      </w:r>
    </w:p>
    <w:p>
      <w:pPr>
        <w:pStyle w:val="Heading1"/>
      </w:pPr>
      <w:r>
        <w:t>7. 1 kHz load sweep</w:t>
      </w:r>
    </w:p>
    <w:tbl>
      <w:tblPr>
        <w:tblW w:type="auto" w:w="0"/>
        <w:jc w:val="center"/>
        <w:tblLayout w:type="fixed"/>
        <w:tblLook w:firstColumn="1" w:firstRow="1" w:lastColumn="0" w:lastRow="0" w:noHBand="0" w:noVBand="1" w:val="04A0"/>
        <w:tblBorders>
          <w:top w:val="single" w:sz="5" w:color="C8D0D8"/>
          <w:left w:val="single" w:sz="5" w:color="C8D0D8"/>
          <w:bottom w:val="single" w:sz="5" w:color="C8D0D8"/>
          <w:right w:val="single" w:sz="5" w:color="C8D0D8"/>
          <w:insideH w:val="single" w:sz="5" w:color="C8D0D8"/>
          <w:insideV w:val="single" w:sz="5" w:color="C8D0D8"/>
        </w:tblBorders>
      </w:tblPr>
      <w:tblGrid>
        <w:gridCol w:w="1694"/>
        <w:gridCol w:w="1694"/>
        <w:gridCol w:w="1694"/>
        <w:gridCol w:w="1694"/>
        <w:gridCol w:w="1694"/>
        <w:gridCol w:w="1694"/>
      </w:tblGrid>
      <w:tr>
        <w:trPr>
          <w:tblHeader w:val="true"/>
        </w:trPr>
        <w:tc>
          <w:tcPr>
            <w:tcW w:type="dxa" w:w="1656"/>
            <w:shd w:fill="17324D"/>
            <w:tcMar>
              <w:top w:w="100" w:type="dxa"/>
              <w:start w:w="110" w:type="dxa"/>
              <w:bottom w:w="100" w:type="dxa"/>
              <w:end w:w="110" w:type="dxa"/>
            </w:tcMar>
            <w:vAlign w:val="center"/>
          </w:tcPr>
          <w:p>
            <w:pPr>
              <w:jc w:val="center"/>
            </w:pPr>
            <w:r>
              <w:rPr>
                <w:b/>
                <w:color w:val="FFFFFF"/>
                <w:sz w:val="16"/>
              </w:rPr>
              <w:t>Added load</w:t>
            </w:r>
          </w:p>
        </w:tc>
        <w:tc>
          <w:tcPr>
            <w:tcW w:type="dxa" w:w="1800"/>
            <w:shd w:fill="17324D"/>
            <w:tcMar>
              <w:top w:w="100" w:type="dxa"/>
              <w:start w:w="110" w:type="dxa"/>
              <w:bottom w:w="100" w:type="dxa"/>
              <w:end w:w="110" w:type="dxa"/>
            </w:tcMar>
            <w:vAlign w:val="center"/>
          </w:tcPr>
          <w:p>
            <w:pPr>
              <w:jc w:val="center"/>
            </w:pPr>
            <w:r>
              <w:rPr>
                <w:b/>
                <w:color w:val="FFFFFF"/>
                <w:sz w:val="16"/>
              </w:rPr>
              <w:t>Effective load*</w:t>
            </w:r>
          </w:p>
        </w:tc>
        <w:tc>
          <w:tcPr>
            <w:tcW w:type="dxa" w:w="1440"/>
            <w:shd w:fill="17324D"/>
            <w:tcMar>
              <w:top w:w="100" w:type="dxa"/>
              <w:start w:w="110" w:type="dxa"/>
              <w:bottom w:w="100" w:type="dxa"/>
              <w:end w:w="110" w:type="dxa"/>
            </w:tcMar>
            <w:vAlign w:val="center"/>
          </w:tcPr>
          <w:p>
            <w:pPr>
              <w:jc w:val="center"/>
            </w:pPr>
            <w:r>
              <w:rPr>
                <w:b/>
                <w:color w:val="FFFFFF"/>
                <w:sz w:val="16"/>
              </w:rPr>
              <w:t>AC Vpp</w:t>
            </w:r>
          </w:p>
        </w:tc>
        <w:tc>
          <w:tcPr>
            <w:tcW w:type="dxa" w:w="1440"/>
            <w:shd w:fill="17324D"/>
            <w:tcMar>
              <w:top w:w="100" w:type="dxa"/>
              <w:start w:w="110" w:type="dxa"/>
              <w:bottom w:w="100" w:type="dxa"/>
              <w:end w:w="110" w:type="dxa"/>
            </w:tcMar>
            <w:vAlign w:val="center"/>
          </w:tcPr>
          <w:p>
            <w:pPr>
              <w:jc w:val="center"/>
            </w:pPr>
            <w:r>
              <w:rPr>
                <w:b/>
                <w:color w:val="FFFFFF"/>
                <w:sz w:val="16"/>
              </w:rPr>
              <w:t>DC Vpp</w:t>
            </w:r>
          </w:p>
        </w:tc>
        <w:tc>
          <w:tcPr>
            <w:tcW w:type="dxa" w:w="1440"/>
            <w:shd w:fill="17324D"/>
            <w:tcMar>
              <w:top w:w="100" w:type="dxa"/>
              <w:start w:w="110" w:type="dxa"/>
              <w:bottom w:w="100" w:type="dxa"/>
              <w:end w:w="110" w:type="dxa"/>
            </w:tcMar>
            <w:vAlign w:val="center"/>
          </w:tcPr>
          <w:p>
            <w:pPr>
              <w:jc w:val="center"/>
            </w:pPr>
            <w:r>
              <w:rPr>
                <w:b/>
                <w:color w:val="FFFFFF"/>
                <w:sz w:val="16"/>
              </w:rPr>
              <w:t>AC/DC</w:t>
            </w:r>
          </w:p>
        </w:tc>
        <w:tc>
          <w:tcPr>
            <w:tcW w:type="dxa" w:w="1944"/>
            <w:shd w:fill="17324D"/>
            <w:tcMar>
              <w:top w:w="100" w:type="dxa"/>
              <w:start w:w="110" w:type="dxa"/>
              <w:bottom w:w="100" w:type="dxa"/>
              <w:end w:w="110" w:type="dxa"/>
            </w:tcMar>
            <w:vAlign w:val="center"/>
          </w:tcPr>
          <w:p>
            <w:pPr>
              <w:jc w:val="center"/>
            </w:pPr>
            <w:r>
              <w:rPr>
                <w:b/>
                <w:color w:val="FFFFFF"/>
                <w:sz w:val="16"/>
              </w:rPr>
              <w:t>AC average</w:t>
            </w:r>
          </w:p>
        </w:tc>
      </w:tr>
      <w:tr>
        <w:tc>
          <w:tcPr>
            <w:tcW w:type="dxa" w:w="1656"/>
            <w:tcMar>
              <w:top w:w="100" w:type="dxa"/>
              <w:start w:w="110" w:type="dxa"/>
              <w:bottom w:w="100" w:type="dxa"/>
              <w:end w:w="110" w:type="dxa"/>
            </w:tcMar>
            <w:vAlign w:val="center"/>
          </w:tcPr>
          <w:p>
            <w:pPr>
              <w:jc w:val="left"/>
            </w:pPr>
            <w:r>
              <w:rPr>
                <w:sz w:val="16"/>
              </w:rPr>
              <w:t>None</w:t>
            </w:r>
          </w:p>
        </w:tc>
        <w:tc>
          <w:tcPr>
            <w:tcW w:type="dxa" w:w="1800"/>
            <w:tcMar>
              <w:top w:w="100" w:type="dxa"/>
              <w:start w:w="110" w:type="dxa"/>
              <w:bottom w:w="100" w:type="dxa"/>
              <w:end w:w="110" w:type="dxa"/>
            </w:tcMar>
            <w:vAlign w:val="center"/>
          </w:tcPr>
          <w:p>
            <w:pPr>
              <w:jc w:val="center"/>
            </w:pPr>
            <w:r>
              <w:rPr>
                <w:sz w:val="16"/>
              </w:rPr>
              <w:t>90.9 kΩ</w:t>
            </w:r>
          </w:p>
        </w:tc>
        <w:tc>
          <w:tcPr>
            <w:tcW w:type="dxa" w:w="1440"/>
            <w:tcMar>
              <w:top w:w="100" w:type="dxa"/>
              <w:start w:w="110" w:type="dxa"/>
              <w:bottom w:w="100" w:type="dxa"/>
              <w:end w:w="110" w:type="dxa"/>
            </w:tcMar>
            <w:vAlign w:val="center"/>
          </w:tcPr>
          <w:p>
            <w:pPr>
              <w:jc w:val="center"/>
            </w:pPr>
            <w:r>
              <w:rPr>
                <w:sz w:val="16"/>
              </w:rPr>
              <w:t>0.9940</w:t>
            </w:r>
          </w:p>
        </w:tc>
        <w:tc>
          <w:tcPr>
            <w:tcW w:type="dxa" w:w="1440"/>
            <w:tcMar>
              <w:top w:w="100" w:type="dxa"/>
              <w:start w:w="110" w:type="dxa"/>
              <w:bottom w:w="100" w:type="dxa"/>
              <w:end w:w="110" w:type="dxa"/>
            </w:tcMar>
            <w:vAlign w:val="center"/>
          </w:tcPr>
          <w:p>
            <w:pPr>
              <w:jc w:val="center"/>
            </w:pPr>
            <w:r>
              <w:rPr>
                <w:sz w:val="16"/>
              </w:rPr>
              <w:t>0.9955</w:t>
            </w:r>
          </w:p>
        </w:tc>
        <w:tc>
          <w:tcPr>
            <w:tcW w:type="dxa" w:w="1440"/>
            <w:tcMar>
              <w:top w:w="100" w:type="dxa"/>
              <w:start w:w="110" w:type="dxa"/>
              <w:bottom w:w="100" w:type="dxa"/>
              <w:end w:w="110" w:type="dxa"/>
            </w:tcMar>
            <w:vAlign w:val="center"/>
          </w:tcPr>
          <w:p>
            <w:pPr>
              <w:jc w:val="center"/>
            </w:pPr>
            <w:r>
              <w:rPr>
                <w:sz w:val="16"/>
              </w:rPr>
              <w:t>99.85%</w:t>
            </w:r>
          </w:p>
        </w:tc>
        <w:tc>
          <w:tcPr>
            <w:tcW w:type="dxa" w:w="1944"/>
            <w:tcMar>
              <w:top w:w="100" w:type="dxa"/>
              <w:start w:w="110" w:type="dxa"/>
              <w:bottom w:w="100" w:type="dxa"/>
              <w:end w:w="110" w:type="dxa"/>
            </w:tcMar>
            <w:vAlign w:val="center"/>
          </w:tcPr>
          <w:p>
            <w:pPr>
              <w:jc w:val="center"/>
            </w:pPr>
            <w:r>
              <w:rPr>
                <w:sz w:val="16"/>
              </w:rPr>
              <w:t>+11.28 mV</w:t>
            </w:r>
          </w:p>
        </w:tc>
      </w:tr>
      <w:tr>
        <w:tc>
          <w:tcPr>
            <w:tcW w:type="dxa" w:w="1656"/>
            <w:tcMar>
              <w:top w:w="100" w:type="dxa"/>
              <w:start w:w="110" w:type="dxa"/>
              <w:bottom w:w="100" w:type="dxa"/>
              <w:end w:w="110" w:type="dxa"/>
            </w:tcMar>
            <w:vAlign w:val="center"/>
            <w:shd w:fill="F2F4F6"/>
          </w:tcPr>
          <w:p>
            <w:pPr>
              <w:jc w:val="left"/>
            </w:pPr>
            <w:r>
              <w:rPr>
                <w:sz w:val="16"/>
              </w:rPr>
              <w:t>100 kΩ</w:t>
            </w:r>
          </w:p>
        </w:tc>
        <w:tc>
          <w:tcPr>
            <w:tcW w:type="dxa" w:w="1800"/>
            <w:tcMar>
              <w:top w:w="100" w:type="dxa"/>
              <w:start w:w="110" w:type="dxa"/>
              <w:bottom w:w="100" w:type="dxa"/>
              <w:end w:w="110" w:type="dxa"/>
            </w:tcMar>
            <w:vAlign w:val="center"/>
            <w:shd w:fill="F2F4F6"/>
          </w:tcPr>
          <w:p>
            <w:pPr>
              <w:jc w:val="center"/>
            </w:pPr>
            <w:r>
              <w:rPr>
                <w:sz w:val="16"/>
              </w:rPr>
              <w:t>47.6 kΩ</w:t>
            </w:r>
          </w:p>
        </w:tc>
        <w:tc>
          <w:tcPr>
            <w:tcW w:type="dxa" w:w="1440"/>
            <w:tcMar>
              <w:top w:w="100" w:type="dxa"/>
              <w:start w:w="110" w:type="dxa"/>
              <w:bottom w:w="100" w:type="dxa"/>
              <w:end w:w="110" w:type="dxa"/>
            </w:tcMar>
            <w:vAlign w:val="center"/>
            <w:shd w:fill="F2F4F6"/>
          </w:tcPr>
          <w:p>
            <w:pPr>
              <w:jc w:val="center"/>
            </w:pPr>
            <w:r>
              <w:rPr>
                <w:sz w:val="16"/>
              </w:rPr>
              <w:t>0.9893</w:t>
            </w:r>
          </w:p>
        </w:tc>
        <w:tc>
          <w:tcPr>
            <w:tcW w:type="dxa" w:w="1440"/>
            <w:tcMar>
              <w:top w:w="100" w:type="dxa"/>
              <w:start w:w="110" w:type="dxa"/>
              <w:bottom w:w="100" w:type="dxa"/>
              <w:end w:w="110" w:type="dxa"/>
            </w:tcMar>
            <w:vAlign w:val="center"/>
            <w:shd w:fill="F2F4F6"/>
          </w:tcPr>
          <w:p>
            <w:pPr>
              <w:jc w:val="center"/>
            </w:pPr>
            <w:r>
              <w:rPr>
                <w:sz w:val="16"/>
              </w:rPr>
              <w:t>0.9917</w:t>
            </w:r>
          </w:p>
        </w:tc>
        <w:tc>
          <w:tcPr>
            <w:tcW w:type="dxa" w:w="1440"/>
            <w:tcMar>
              <w:top w:w="100" w:type="dxa"/>
              <w:start w:w="110" w:type="dxa"/>
              <w:bottom w:w="100" w:type="dxa"/>
              <w:end w:w="110" w:type="dxa"/>
            </w:tcMar>
            <w:vAlign w:val="center"/>
            <w:shd w:fill="F2F4F6"/>
          </w:tcPr>
          <w:p>
            <w:pPr>
              <w:jc w:val="center"/>
            </w:pPr>
            <w:r>
              <w:rPr>
                <w:sz w:val="16"/>
              </w:rPr>
              <w:t>99.76%</w:t>
            </w:r>
          </w:p>
        </w:tc>
        <w:tc>
          <w:tcPr>
            <w:tcW w:type="dxa" w:w="1944"/>
            <w:tcMar>
              <w:top w:w="100" w:type="dxa"/>
              <w:start w:w="110" w:type="dxa"/>
              <w:bottom w:w="100" w:type="dxa"/>
              <w:end w:w="110" w:type="dxa"/>
            </w:tcMar>
            <w:vAlign w:val="center"/>
            <w:shd w:fill="F2F4F6"/>
          </w:tcPr>
          <w:p>
            <w:pPr>
              <w:jc w:val="center"/>
            </w:pPr>
            <w:r>
              <w:rPr>
                <w:sz w:val="16"/>
              </w:rPr>
              <w:t>+4.11 mV</w:t>
            </w:r>
          </w:p>
        </w:tc>
      </w:tr>
      <w:tr>
        <w:tc>
          <w:tcPr>
            <w:tcW w:type="dxa" w:w="1656"/>
            <w:tcMar>
              <w:top w:w="100" w:type="dxa"/>
              <w:start w:w="110" w:type="dxa"/>
              <w:bottom w:w="100" w:type="dxa"/>
              <w:end w:w="110" w:type="dxa"/>
            </w:tcMar>
            <w:vAlign w:val="center"/>
          </w:tcPr>
          <w:p>
            <w:pPr>
              <w:jc w:val="left"/>
            </w:pPr>
            <w:r>
              <w:rPr>
                <w:sz w:val="16"/>
              </w:rPr>
              <w:t>10 kΩ</w:t>
            </w:r>
          </w:p>
        </w:tc>
        <w:tc>
          <w:tcPr>
            <w:tcW w:type="dxa" w:w="1800"/>
            <w:tcMar>
              <w:top w:w="100" w:type="dxa"/>
              <w:start w:w="110" w:type="dxa"/>
              <w:bottom w:w="100" w:type="dxa"/>
              <w:end w:w="110" w:type="dxa"/>
            </w:tcMar>
            <w:vAlign w:val="center"/>
          </w:tcPr>
          <w:p>
            <w:pPr>
              <w:jc w:val="center"/>
            </w:pPr>
            <w:r>
              <w:rPr>
                <w:sz w:val="16"/>
              </w:rPr>
              <w:t>9.01 kΩ</w:t>
            </w:r>
          </w:p>
        </w:tc>
        <w:tc>
          <w:tcPr>
            <w:tcW w:type="dxa" w:w="1440"/>
            <w:tcMar>
              <w:top w:w="100" w:type="dxa"/>
              <w:start w:w="110" w:type="dxa"/>
              <w:bottom w:w="100" w:type="dxa"/>
              <w:end w:w="110" w:type="dxa"/>
            </w:tcMar>
            <w:vAlign w:val="center"/>
          </w:tcPr>
          <w:p>
            <w:pPr>
              <w:jc w:val="center"/>
            </w:pPr>
            <w:r>
              <w:rPr>
                <w:sz w:val="16"/>
              </w:rPr>
              <w:t>0.9831</w:t>
            </w:r>
          </w:p>
        </w:tc>
        <w:tc>
          <w:tcPr>
            <w:tcW w:type="dxa" w:w="1440"/>
            <w:tcMar>
              <w:top w:w="100" w:type="dxa"/>
              <w:start w:w="110" w:type="dxa"/>
              <w:bottom w:w="100" w:type="dxa"/>
              <w:end w:w="110" w:type="dxa"/>
            </w:tcMar>
            <w:vAlign w:val="center"/>
          </w:tcPr>
          <w:p>
            <w:pPr>
              <w:jc w:val="center"/>
            </w:pPr>
            <w:r>
              <w:rPr>
                <w:sz w:val="16"/>
              </w:rPr>
              <w:t>0.9925</w:t>
            </w:r>
          </w:p>
        </w:tc>
        <w:tc>
          <w:tcPr>
            <w:tcW w:type="dxa" w:w="1440"/>
            <w:tcMar>
              <w:top w:w="100" w:type="dxa"/>
              <w:start w:w="110" w:type="dxa"/>
              <w:bottom w:w="100" w:type="dxa"/>
              <w:end w:w="110" w:type="dxa"/>
            </w:tcMar>
            <w:vAlign w:val="center"/>
          </w:tcPr>
          <w:p>
            <w:pPr>
              <w:jc w:val="center"/>
            </w:pPr>
            <w:r>
              <w:rPr>
                <w:sz w:val="16"/>
              </w:rPr>
              <w:t>99.06%</w:t>
            </w:r>
          </w:p>
        </w:tc>
        <w:tc>
          <w:tcPr>
            <w:tcW w:type="dxa" w:w="1944"/>
            <w:tcMar>
              <w:top w:w="100" w:type="dxa"/>
              <w:start w:w="110" w:type="dxa"/>
              <w:bottom w:w="100" w:type="dxa"/>
              <w:end w:w="110" w:type="dxa"/>
            </w:tcMar>
            <w:vAlign w:val="center"/>
          </w:tcPr>
          <w:p>
            <w:pPr>
              <w:jc w:val="center"/>
            </w:pPr>
            <w:r>
              <w:rPr>
                <w:sz w:val="16"/>
              </w:rPr>
              <w:t>+2.16 mV</w:t>
            </w:r>
          </w:p>
        </w:tc>
      </w:tr>
      <w:tr>
        <w:tc>
          <w:tcPr>
            <w:tcW w:type="dxa" w:w="1656"/>
            <w:tcMar>
              <w:top w:w="100" w:type="dxa"/>
              <w:start w:w="110" w:type="dxa"/>
              <w:bottom w:w="100" w:type="dxa"/>
              <w:end w:w="110" w:type="dxa"/>
            </w:tcMar>
            <w:vAlign w:val="center"/>
            <w:shd w:fill="F2F4F6"/>
          </w:tcPr>
          <w:p>
            <w:pPr>
              <w:jc w:val="left"/>
            </w:pPr>
            <w:r>
              <w:rPr>
                <w:sz w:val="16"/>
              </w:rPr>
              <w:t>1 kΩ</w:t>
            </w:r>
          </w:p>
        </w:tc>
        <w:tc>
          <w:tcPr>
            <w:tcW w:type="dxa" w:w="1800"/>
            <w:tcMar>
              <w:top w:w="100" w:type="dxa"/>
              <w:start w:w="110" w:type="dxa"/>
              <w:bottom w:w="100" w:type="dxa"/>
              <w:end w:w="110" w:type="dxa"/>
            </w:tcMar>
            <w:vAlign w:val="center"/>
            <w:shd w:fill="F2F4F6"/>
          </w:tcPr>
          <w:p>
            <w:pPr>
              <w:jc w:val="center"/>
            </w:pPr>
            <w:r>
              <w:rPr>
                <w:sz w:val="16"/>
              </w:rPr>
              <w:t>988 Ω</w:t>
            </w:r>
          </w:p>
        </w:tc>
        <w:tc>
          <w:tcPr>
            <w:tcW w:type="dxa" w:w="1440"/>
            <w:tcMar>
              <w:top w:w="100" w:type="dxa"/>
              <w:start w:w="110" w:type="dxa"/>
              <w:bottom w:w="100" w:type="dxa"/>
              <w:end w:w="110" w:type="dxa"/>
            </w:tcMar>
            <w:vAlign w:val="center"/>
            <w:shd w:fill="F2F4F6"/>
          </w:tcPr>
          <w:p>
            <w:pPr>
              <w:jc w:val="center"/>
            </w:pPr>
            <w:r>
              <w:rPr>
                <w:sz w:val="16"/>
              </w:rPr>
              <w:t>0.8932</w:t>
            </w:r>
          </w:p>
        </w:tc>
        <w:tc>
          <w:tcPr>
            <w:tcW w:type="dxa" w:w="1440"/>
            <w:tcMar>
              <w:top w:w="100" w:type="dxa"/>
              <w:start w:w="110" w:type="dxa"/>
              <w:bottom w:w="100" w:type="dxa"/>
              <w:end w:w="110" w:type="dxa"/>
            </w:tcMar>
            <w:vAlign w:val="center"/>
            <w:shd w:fill="F2F4F6"/>
          </w:tcPr>
          <w:p>
            <w:pPr>
              <w:jc w:val="center"/>
            </w:pPr>
            <w:r>
              <w:rPr>
                <w:sz w:val="16"/>
              </w:rPr>
              <w:t>0.9858</w:t>
            </w:r>
          </w:p>
        </w:tc>
        <w:tc>
          <w:tcPr>
            <w:tcW w:type="dxa" w:w="1440"/>
            <w:tcMar>
              <w:top w:w="100" w:type="dxa"/>
              <w:start w:w="110" w:type="dxa"/>
              <w:bottom w:w="100" w:type="dxa"/>
              <w:end w:w="110" w:type="dxa"/>
            </w:tcMar>
            <w:vAlign w:val="center"/>
            <w:shd w:fill="F2F4F6"/>
          </w:tcPr>
          <w:p>
            <w:pPr>
              <w:jc w:val="center"/>
            </w:pPr>
            <w:r>
              <w:rPr>
                <w:sz w:val="16"/>
              </w:rPr>
              <w:t>90.61%</w:t>
            </w:r>
          </w:p>
        </w:tc>
        <w:tc>
          <w:tcPr>
            <w:tcW w:type="dxa" w:w="1944"/>
            <w:tcMar>
              <w:top w:w="100" w:type="dxa"/>
              <w:start w:w="110" w:type="dxa"/>
              <w:bottom w:w="100" w:type="dxa"/>
              <w:end w:w="110" w:type="dxa"/>
            </w:tcMar>
            <w:vAlign w:val="center"/>
            <w:shd w:fill="F2F4F6"/>
          </w:tcPr>
          <w:p>
            <w:pPr>
              <w:jc w:val="center"/>
            </w:pPr>
            <w:r>
              <w:rPr>
                <w:sz w:val="16"/>
              </w:rPr>
              <w:t>+0.84 mV</w:t>
            </w:r>
          </w:p>
        </w:tc>
      </w:tr>
    </w:tbl>
    <w:p>
      <w:pPr>
        <w:spacing w:after="0"/>
      </w:pPr>
    </w:p>
    <w:p>
      <w:r>
        <w:t>*Includes the permanent 100 kΩ resistor and the Analog Discovery’s 1 MΩ input.</w:t>
      </w:r>
    </w:p>
    <w:p>
      <w:r>
        <w:t>Loss closely matches the divider formed by the intentional 100 Ω resistor and effective load. For the 1 kΩ test, predicted transfer was 90.8% and measured transfer was 90.6%. Estimated peak output current was approximately 0.45 mA.</w:t>
      </w:r>
    </w:p>
    <w:p>
      <w:pPr>
        <w:pStyle w:val="Heading2"/>
      </w:pPr>
      <w:r>
        <w:t>Load-sweep findings</w:t>
      </w:r>
    </w:p>
    <w:p>
      <w:pPr>
        <w:pStyle w:val="ListBullet"/>
      </w:pPr>
      <w:r>
        <w:t>Loads of 10 kΩ or greater preserved amplitude to about 1% or better.</w:t>
      </w:r>
    </w:p>
    <w:p>
      <w:pPr>
        <w:pStyle w:val="ListBullet"/>
      </w:pPr>
      <w:r>
        <w:t>The 1 kΩ load caused approximately 9.4% attenuation, consistent with the 100 Ω protection resistor.</w:t>
      </w:r>
    </w:p>
    <w:p>
      <w:pPr>
        <w:pStyle w:val="ListBullet"/>
      </w:pPr>
      <w:r>
        <w:t>No clipping, oscillation, or major distortion was visible under any tested load.</w:t>
      </w:r>
    </w:p>
    <w:p>
      <w:pPr>
        <w:pStyle w:val="ListBullet"/>
      </w:pPr>
      <w:r>
        <w:t>DC OUT remained stable; the loads did not significantly disturb the OP484 stage.</w:t>
      </w:r>
    </w:p>
    <w:p>
      <w:pPr>
        <w:pStyle w:val="ListBullet"/>
      </w:pPr>
      <w:r>
        <w:t>The output is not intended for 50 Ω loads.</w:t>
      </w:r>
    </w:p>
    <w:p>
      <w:pPr>
        <w:pStyle w:val="Heading1"/>
      </w:pPr>
      <w:r>
        <w:t>8. Power-switching transient</w:t>
      </w:r>
    </w:p>
    <w:p>
      <w:r>
        <w:t>A separate bench-supply switching capture showed a positive transient at both outputs. The largest recorded excursions were approximately +2.80 V at AC OUT and +2.88 V at DC OUT, with no significant negative excursion. These remained inside the approximately 0–4.71 V internal supply range.</w:t>
      </w:r>
    </w:p>
    <w:p>
      <w:r>
        <w:t>The coupling capacitor converts a rapid internal DC-level change into a pulse at AC OUT. Narrow spikes and the intermediate plateau may also include supply switching or switch bounce. The capture does not prove that extremely short spikes are absent, but it showed no immediately dangerous excursion for the generator or Analog Discovery.</w:t>
      </w:r>
    </w:p>
    <w:tbl>
      <w:tblPr>
        <w:tblW w:type="auto" w:w="0"/>
        <w:tblLook w:firstColumn="1" w:firstRow="1" w:lastColumn="0" w:lastRow="0" w:noHBand="0" w:noVBand="1" w:val="04A0"/>
      </w:tblPr>
      <w:tblGrid>
        <w:gridCol w:w="10166"/>
      </w:tblGrid>
      <w:tr>
        <w:tc>
          <w:tcPr>
            <w:tcW w:type="dxa" w:w="10166"/>
            <w:shd w:fill="FCE8D9"/>
            <w:tcMar>
              <w:top w:w="150" w:type="dxa"/>
              <w:start w:w="180" w:type="dxa"/>
              <w:bottom w:w="150" w:type="dxa"/>
              <w:end w:w="180" w:type="dxa"/>
            </w:tcMar>
          </w:tcPr>
          <w:p>
            <w:r>
              <w:rPr>
                <w:b/>
                <w:color w:val="17324D"/>
              </w:rPr>
              <w:t xml:space="preserve">External-circuit caution  </w:t>
            </w:r>
            <w:r>
              <w:t>The transient is acceptable for breadboard characterization but could disturb a sensitive device connected to AC OUT. Keep the external load disconnected during power transitions, or set OUTPUT OFF and isolate the device before cycling bench power.</w:t>
            </w:r>
          </w:p>
        </w:tc>
      </w:tr>
    </w:tbl>
    <w:p>
      <w:pPr>
        <w:spacing w:after="0"/>
      </w:pPr>
    </w:p>
    <w:p>
      <w:pPr>
        <w:pStyle w:val="Heading1"/>
      </w:pPr>
      <w:r>
        <w:t>9. Conclusions and provisional rating</w:t>
      </w:r>
    </w:p>
    <w:tbl>
      <w:tblPr>
        <w:tblW w:type="auto" w:w="0"/>
        <w:jc w:val="center"/>
        <w:tblLayout w:type="fixed"/>
        <w:tblLook w:firstColumn="1" w:firstRow="1" w:lastColumn="0" w:lastRow="0" w:noHBand="0" w:noVBand="1" w:val="04A0"/>
        <w:tblBorders>
          <w:top w:val="single" w:sz="5" w:color="C8D0D8"/>
          <w:left w:val="single" w:sz="5" w:color="C8D0D8"/>
          <w:bottom w:val="single" w:sz="5" w:color="C8D0D8"/>
          <w:right w:val="single" w:sz="5" w:color="C8D0D8"/>
          <w:insideH w:val="single" w:sz="5" w:color="C8D0D8"/>
          <w:insideV w:val="single" w:sz="5" w:color="C8D0D8"/>
        </w:tblBorders>
      </w:tblPr>
      <w:tblGrid>
        <w:gridCol w:w="5083"/>
        <w:gridCol w:w="5083"/>
      </w:tblGrid>
      <w:tr>
        <w:trPr>
          <w:tblHeader w:val="true"/>
        </w:trPr>
        <w:tc>
          <w:tcPr>
            <w:tcW w:type="dxa" w:w="2952"/>
            <w:shd w:fill="17324D"/>
            <w:tcMar>
              <w:top w:w="100" w:type="dxa"/>
              <w:start w:w="110" w:type="dxa"/>
              <w:bottom w:w="100" w:type="dxa"/>
              <w:end w:w="110" w:type="dxa"/>
            </w:tcMar>
            <w:vAlign w:val="center"/>
          </w:tcPr>
          <w:p>
            <w:pPr>
              <w:jc w:val="center"/>
            </w:pPr>
            <w:r>
              <w:rPr>
                <w:b/>
                <w:color w:val="FFFFFF"/>
                <w:sz w:val="17"/>
              </w:rPr>
              <w:t>Parameter</w:t>
            </w:r>
          </w:p>
        </w:tc>
        <w:tc>
          <w:tcPr>
            <w:tcW w:type="dxa" w:w="7200"/>
            <w:shd w:fill="17324D"/>
            <w:tcMar>
              <w:top w:w="100" w:type="dxa"/>
              <w:start w:w="110" w:type="dxa"/>
              <w:bottom w:w="100" w:type="dxa"/>
              <w:end w:w="110" w:type="dxa"/>
            </w:tcMar>
            <w:vAlign w:val="center"/>
          </w:tcPr>
          <w:p>
            <w:pPr>
              <w:jc w:val="center"/>
            </w:pPr>
            <w:r>
              <w:rPr>
                <w:b/>
                <w:color w:val="FFFFFF"/>
                <w:sz w:val="17"/>
              </w:rPr>
              <w:t>Provisional rating / conclusion</w:t>
            </w:r>
          </w:p>
        </w:tc>
      </w:tr>
      <w:tr>
        <w:tc>
          <w:tcPr>
            <w:tcW w:type="dxa" w:w="2952"/>
            <w:tcMar>
              <w:top w:w="100" w:type="dxa"/>
              <w:start w:w="110" w:type="dxa"/>
              <w:bottom w:w="100" w:type="dxa"/>
              <w:end w:w="110" w:type="dxa"/>
            </w:tcMar>
            <w:vAlign w:val="center"/>
          </w:tcPr>
          <w:p>
            <w:pPr>
              <w:jc w:val="left"/>
            </w:pPr>
            <w:r>
              <w:rPr>
                <w:sz w:val="17"/>
              </w:rPr>
              <w:t>Waveforms</w:t>
            </w:r>
          </w:p>
        </w:tc>
        <w:tc>
          <w:tcPr>
            <w:tcW w:type="dxa" w:w="7200"/>
            <w:tcMar>
              <w:top w:w="100" w:type="dxa"/>
              <w:start w:w="110" w:type="dxa"/>
              <w:bottom w:w="100" w:type="dxa"/>
              <w:end w:w="110" w:type="dxa"/>
            </w:tcMar>
            <w:vAlign w:val="center"/>
          </w:tcPr>
          <w:p>
            <w:pPr>
              <w:jc w:val="center"/>
            </w:pPr>
            <w:r>
              <w:rPr>
                <w:sz w:val="17"/>
              </w:rPr>
              <w:t>Sine validated; triangle characterization pending</w:t>
            </w:r>
          </w:p>
        </w:tc>
      </w:tr>
      <w:tr>
        <w:tc>
          <w:tcPr>
            <w:tcW w:type="dxa" w:w="2952"/>
            <w:tcMar>
              <w:top w:w="100" w:type="dxa"/>
              <w:start w:w="110" w:type="dxa"/>
              <w:bottom w:w="100" w:type="dxa"/>
              <w:end w:w="110" w:type="dxa"/>
            </w:tcMar>
            <w:vAlign w:val="center"/>
            <w:shd w:fill="F2F4F6"/>
          </w:tcPr>
          <w:p>
            <w:pPr>
              <w:jc w:val="left"/>
            </w:pPr>
            <w:r>
              <w:rPr>
                <w:sz w:val="17"/>
              </w:rPr>
              <w:t>Recommended frequency</w:t>
            </w:r>
          </w:p>
        </w:tc>
        <w:tc>
          <w:tcPr>
            <w:tcW w:type="dxa" w:w="7200"/>
            <w:tcMar>
              <w:top w:w="100" w:type="dxa"/>
              <w:start w:w="110" w:type="dxa"/>
              <w:bottom w:w="100" w:type="dxa"/>
              <w:end w:w="110" w:type="dxa"/>
            </w:tcMar>
            <w:vAlign w:val="center"/>
            <w:shd w:fill="F2F4F6"/>
          </w:tcPr>
          <w:p>
            <w:pPr>
              <w:jc w:val="center"/>
            </w:pPr>
            <w:r>
              <w:rPr>
                <w:sz w:val="17"/>
              </w:rPr>
              <w:t>10 Hz–100 kHz</w:t>
            </w:r>
          </w:p>
        </w:tc>
      </w:tr>
      <w:tr>
        <w:tc>
          <w:tcPr>
            <w:tcW w:type="dxa" w:w="2952"/>
            <w:tcMar>
              <w:top w:w="100" w:type="dxa"/>
              <w:start w:w="110" w:type="dxa"/>
              <w:bottom w:w="100" w:type="dxa"/>
              <w:end w:w="110" w:type="dxa"/>
            </w:tcMar>
            <w:vAlign w:val="center"/>
          </w:tcPr>
          <w:p>
            <w:pPr>
              <w:jc w:val="left"/>
            </w:pPr>
            <w:r>
              <w:rPr>
                <w:sz w:val="17"/>
              </w:rPr>
              <w:t>Extended operation</w:t>
            </w:r>
          </w:p>
        </w:tc>
        <w:tc>
          <w:tcPr>
            <w:tcW w:type="dxa" w:w="7200"/>
            <w:tcMar>
              <w:top w:w="100" w:type="dxa"/>
              <w:start w:w="110" w:type="dxa"/>
              <w:bottom w:w="100" w:type="dxa"/>
              <w:end w:w="110" w:type="dxa"/>
            </w:tcMar>
            <w:vAlign w:val="center"/>
          </w:tcPr>
          <w:p>
            <w:pPr>
              <w:jc w:val="center"/>
            </w:pPr>
            <w:r>
              <w:rPr>
                <w:sz w:val="17"/>
              </w:rPr>
              <w:t>200 kHz with reduced amplitude and visible upstream distortion</w:t>
            </w:r>
          </w:p>
        </w:tc>
      </w:tr>
      <w:tr>
        <w:tc>
          <w:tcPr>
            <w:tcW w:type="dxa" w:w="2952"/>
            <w:tcMar>
              <w:top w:w="100" w:type="dxa"/>
              <w:start w:w="110" w:type="dxa"/>
              <w:bottom w:w="100" w:type="dxa"/>
              <w:end w:w="110" w:type="dxa"/>
            </w:tcMar>
            <w:vAlign w:val="center"/>
            <w:shd w:fill="F2F4F6"/>
          </w:tcPr>
          <w:p>
            <w:pPr>
              <w:jc w:val="left"/>
            </w:pPr>
            <w:r>
              <w:rPr>
                <w:sz w:val="17"/>
              </w:rPr>
              <w:t>Amplitude</w:t>
            </w:r>
          </w:p>
        </w:tc>
        <w:tc>
          <w:tcPr>
            <w:tcW w:type="dxa" w:w="7200"/>
            <w:tcMar>
              <w:top w:w="100" w:type="dxa"/>
              <w:start w:w="110" w:type="dxa"/>
              <w:bottom w:w="100" w:type="dxa"/>
              <w:end w:w="110" w:type="dxa"/>
            </w:tcMar>
            <w:vAlign w:val="center"/>
            <w:shd w:fill="F2F4F6"/>
          </w:tcPr>
          <w:p>
            <w:pPr>
              <w:jc w:val="center"/>
            </w:pPr>
            <w:r>
              <w:rPr>
                <w:sz w:val="17"/>
              </w:rPr>
              <w:t>1.00 Vpp characterized; higher-amplitude sweep pending</w:t>
            </w:r>
          </w:p>
        </w:tc>
      </w:tr>
      <w:tr>
        <w:tc>
          <w:tcPr>
            <w:tcW w:type="dxa" w:w="2952"/>
            <w:tcMar>
              <w:top w:w="100" w:type="dxa"/>
              <w:start w:w="110" w:type="dxa"/>
              <w:bottom w:w="100" w:type="dxa"/>
              <w:end w:w="110" w:type="dxa"/>
            </w:tcMar>
            <w:vAlign w:val="center"/>
          </w:tcPr>
          <w:p>
            <w:pPr>
              <w:jc w:val="left"/>
            </w:pPr>
            <w:r>
              <w:rPr>
                <w:sz w:val="17"/>
              </w:rPr>
              <w:t>Output center</w:t>
            </w:r>
          </w:p>
        </w:tc>
        <w:tc>
          <w:tcPr>
            <w:tcW w:type="dxa" w:w="7200"/>
            <w:tcMar>
              <w:top w:w="100" w:type="dxa"/>
              <w:start w:w="110" w:type="dxa"/>
              <w:bottom w:w="100" w:type="dxa"/>
              <w:end w:w="110" w:type="dxa"/>
            </w:tcMar>
            <w:vAlign w:val="center"/>
          </w:tcPr>
          <w:p>
            <w:pPr>
              <w:jc w:val="center"/>
            </w:pPr>
            <w:r>
              <w:rPr>
                <w:sz w:val="17"/>
              </w:rPr>
              <w:t>Approximately 0 V; within a few millivolts in the sweep</w:t>
            </w:r>
          </w:p>
        </w:tc>
      </w:tr>
      <w:tr>
        <w:tc>
          <w:tcPr>
            <w:tcW w:type="dxa" w:w="2952"/>
            <w:tcMar>
              <w:top w:w="100" w:type="dxa"/>
              <w:start w:w="110" w:type="dxa"/>
              <w:bottom w:w="100" w:type="dxa"/>
              <w:end w:w="110" w:type="dxa"/>
            </w:tcMar>
            <w:vAlign w:val="center"/>
            <w:shd w:fill="F2F4F6"/>
          </w:tcPr>
          <w:p>
            <w:pPr>
              <w:jc w:val="left"/>
            </w:pPr>
            <w:r>
              <w:rPr>
                <w:sz w:val="17"/>
              </w:rPr>
              <w:t>Recommended load</w:t>
            </w:r>
          </w:p>
        </w:tc>
        <w:tc>
          <w:tcPr>
            <w:tcW w:type="dxa" w:w="7200"/>
            <w:tcMar>
              <w:top w:w="100" w:type="dxa"/>
              <w:start w:w="110" w:type="dxa"/>
              <w:bottom w:w="100" w:type="dxa"/>
              <w:end w:w="110" w:type="dxa"/>
            </w:tcMar>
            <w:vAlign w:val="center"/>
            <w:shd w:fill="F2F4F6"/>
          </w:tcPr>
          <w:p>
            <w:pPr>
              <w:jc w:val="center"/>
            </w:pPr>
            <w:r>
              <w:rPr>
                <w:sz w:val="17"/>
              </w:rPr>
              <w:t>10 kΩ or greater</w:t>
            </w:r>
          </w:p>
        </w:tc>
      </w:tr>
      <w:tr>
        <w:tc>
          <w:tcPr>
            <w:tcW w:type="dxa" w:w="2952"/>
            <w:tcMar>
              <w:top w:w="100" w:type="dxa"/>
              <w:start w:w="110" w:type="dxa"/>
              <w:bottom w:w="100" w:type="dxa"/>
              <w:end w:w="110" w:type="dxa"/>
            </w:tcMar>
            <w:vAlign w:val="center"/>
          </w:tcPr>
          <w:p>
            <w:pPr>
              <w:jc w:val="left"/>
            </w:pPr>
            <w:r>
              <w:rPr>
                <w:sz w:val="17"/>
              </w:rPr>
              <w:t>1 kΩ operation</w:t>
            </w:r>
          </w:p>
        </w:tc>
        <w:tc>
          <w:tcPr>
            <w:tcW w:type="dxa" w:w="7200"/>
            <w:tcMar>
              <w:top w:w="100" w:type="dxa"/>
              <w:start w:w="110" w:type="dxa"/>
              <w:bottom w:w="100" w:type="dxa"/>
              <w:end w:w="110" w:type="dxa"/>
            </w:tcMar>
            <w:vAlign w:val="center"/>
          </w:tcPr>
          <w:p>
            <w:pPr>
              <w:jc w:val="center"/>
            </w:pPr>
            <w:r>
              <w:rPr>
                <w:sz w:val="17"/>
              </w:rPr>
              <w:t>Usable with approximately 9% attenuation at 1 kHz</w:t>
            </w:r>
          </w:p>
        </w:tc>
      </w:tr>
      <w:tr>
        <w:tc>
          <w:tcPr>
            <w:tcW w:type="dxa" w:w="2952"/>
            <w:tcMar>
              <w:top w:w="100" w:type="dxa"/>
              <w:start w:w="110" w:type="dxa"/>
              <w:bottom w:w="100" w:type="dxa"/>
              <w:end w:w="110" w:type="dxa"/>
            </w:tcMar>
            <w:vAlign w:val="center"/>
            <w:shd w:fill="F2F4F6"/>
          </w:tcPr>
          <w:p>
            <w:pPr>
              <w:jc w:val="left"/>
            </w:pPr>
            <w:r>
              <w:rPr>
                <w:sz w:val="17"/>
              </w:rPr>
              <w:t>50 Ω drive</w:t>
            </w:r>
          </w:p>
        </w:tc>
        <w:tc>
          <w:tcPr>
            <w:tcW w:type="dxa" w:w="7200"/>
            <w:tcMar>
              <w:top w:w="100" w:type="dxa"/>
              <w:start w:w="110" w:type="dxa"/>
              <w:bottom w:w="100" w:type="dxa"/>
              <w:end w:w="110" w:type="dxa"/>
            </w:tcMar>
            <w:vAlign w:val="center"/>
            <w:shd w:fill="F2F4F6"/>
          </w:tcPr>
          <w:p>
            <w:pPr>
              <w:jc w:val="center"/>
            </w:pPr>
            <w:r>
              <w:rPr>
                <w:sz w:val="17"/>
              </w:rPr>
              <w:t>Not supported</w:t>
            </w:r>
          </w:p>
        </w:tc>
      </w:tr>
      <w:tr>
        <w:tc>
          <w:tcPr>
            <w:tcW w:type="dxa" w:w="2952"/>
            <w:tcMar>
              <w:top w:w="100" w:type="dxa"/>
              <w:start w:w="110" w:type="dxa"/>
              <w:bottom w:w="100" w:type="dxa"/>
              <w:end w:w="110" w:type="dxa"/>
            </w:tcMar>
            <w:vAlign w:val="center"/>
          </w:tcPr>
          <w:p>
            <w:pPr>
              <w:jc w:val="left"/>
            </w:pPr>
            <w:r>
              <w:rPr>
                <w:sz w:val="17"/>
              </w:rPr>
              <w:t>DC capability</w:t>
            </w:r>
          </w:p>
        </w:tc>
        <w:tc>
          <w:tcPr>
            <w:tcW w:type="dxa" w:w="7200"/>
            <w:tcMar>
              <w:top w:w="100" w:type="dxa"/>
              <w:start w:w="110" w:type="dxa"/>
              <w:bottom w:w="100" w:type="dxa"/>
              <w:end w:w="110" w:type="dxa"/>
            </w:tcMar>
            <w:vAlign w:val="center"/>
          </w:tcPr>
          <w:p>
            <w:pPr>
              <w:jc w:val="center"/>
            </w:pPr>
            <w:r>
              <w:rPr>
                <w:sz w:val="17"/>
              </w:rPr>
              <w:t>AC only; no sustained negative DC or adjustable negative center</w:t>
            </w:r>
          </w:p>
        </w:tc>
      </w:tr>
    </w:tbl>
    <w:p>
      <w:pPr>
        <w:spacing w:after="0"/>
      </w:pPr>
    </w:p>
    <w:p>
      <w:r>
        <w:t>Overall result: PASS. The passive bipolar AC-output stage removes the midrail bias, centers the waveform near ground, and preserves signal integrity over the intended high-impedance range.</w:t>
      </w:r>
    </w:p>
    <w:p>
      <w:pPr>
        <w:pStyle w:val="Heading1"/>
      </w:pPr>
      <w:r>
        <w:t>10. Recommended next steps</w:t>
      </w:r>
    </w:p>
    <w:p>
      <w:pPr>
        <w:pStyle w:val="ListNumber"/>
      </w:pPr>
      <w:r>
        <w:t>Capture startup and shutdown separately at 20–100 ms/div with OUTPUT OFF before cycling power.</w:t>
      </w:r>
    </w:p>
    <w:p>
      <w:pPr>
        <w:pStyle w:val="ListNumber"/>
      </w:pPr>
      <w:r>
        <w:t>Run triangle checks at 10 Hz, 1 kHz, 50 kHz, and 200 kHz.</w:t>
      </w:r>
    </w:p>
    <w:p>
      <w:pPr>
        <w:pStyle w:val="ListNumber"/>
      </w:pPr>
      <w:r>
        <w:t>Test 2.0, 4.0, and 4.15 Vpp into high impedance; verify symmetry and clipping margin.</w:t>
      </w:r>
    </w:p>
    <w:p>
      <w:pPr>
        <w:pStyle w:val="ListNumber"/>
      </w:pPr>
      <w:r>
        <w:t>Add an AC/DC selector, first manual, then evaluate a relay or suitable analog switch with startup isolation.</w:t>
      </w:r>
    </w:p>
    <w:p>
      <w:pPr>
        <w:pStyle w:val="ListNumber"/>
      </w:pPr>
      <w:r>
        <w:t>Implement safe switching: mute, establish midrail, switch coupling, settle, restore amplitude, and unmute.</w:t>
      </w:r>
    </w:p>
    <w:p>
      <w:pPr>
        <w:pStyle w:val="ListNumber"/>
      </w:pPr>
      <w:r>
        <w:t>Add COUPLING=AC/DC to firmware/BLE and update the app so AC mode displays 0 V center and disables adjustable offset.</w:t>
      </w:r>
    </w:p>
    <w:p>
      <w:pPr>
        <w:pStyle w:val="Heading1"/>
      </w:pPr>
      <w:r>
        <w:t>11. Safe breadboard operation</w:t>
      </w:r>
    </w:p>
    <w:p>
      <w:pPr>
        <w:pStyle w:val="ListBullet"/>
      </w:pPr>
      <w:r>
        <w:t>Before shutdown: set OUTPUT OFF, verify AC OUT is near 0 V, isolate the external device, then switch off bench power.</w:t>
      </w:r>
    </w:p>
    <w:p>
      <w:pPr>
        <w:pStyle w:val="ListBullet"/>
      </w:pPr>
      <w:r>
        <w:t>At startup: leave output disconnected, power the generator, wait for safe initialization, then connect the load and enable output.</w:t>
      </w:r>
    </w:p>
    <w:p>
      <w:pPr>
        <w:pStyle w:val="ListBullet"/>
      </w:pPr>
      <w:r>
        <w:t>Do not connect laptop USB and external 5 V simultaneously until the ESP32 board’s dual-power behavior is verified.</w:t>
      </w:r>
    </w:p>
    <w:p>
      <w:pPr>
        <w:pStyle w:val="ListBullet"/>
      </w:pPr>
      <w:r>
        <w:t>Use common ground and avoid wiring changes while powered or attached to the laptop.</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Bipolar AC Output Stage — Test Report   •   July 22,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88B8B"/>
        <w:sz w:val="16"/>
      </w:rPr>
      <w:t>POCKETLAB  /  FUNCTION GENERATOR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88B8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B65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PocketLab Bipolar AC Output Stage Test Report</dc:title>
  <dc:subject>Passive AC-coupling breadboard validation</dc:subject>
  <dc:creator>OpenAI, prepared for Mark Anderson</dc:creator>
  <cp:keywords/>
  <dc:description>generated by python-docx</dc:description>
  <cp:lastModifiedBy/>
  <cp:revision>1</cp:revision>
  <dcterms:created xsi:type="dcterms:W3CDTF">2013-12-23T23:15:00Z</dcterms:created>
  <dcterms:modified xsi:type="dcterms:W3CDTF">2013-12-23T23:15:00Z</dcterms:modified>
  <cp:category/>
</cp:coreProperties>
</file>