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FREQUENCY SWEEP WITH OFFSET</w:t>
      </w:r>
    </w:p>
    <w:p>
      <w:pPr>
        <w:pStyle w:val="Subtitle"/>
      </w:pPr>
      <w:r>
        <w:t>Sine and Triangle Wave Performance from 10 Hz to 200 kHz</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tcMar>
              <w:top w:w="80" w:type="dxa"/>
              <w:start w:w="120" w:type="dxa"/>
              <w:bottom w:w="80" w:type="dxa"/>
              <w:end w:w="120" w:type="dxa"/>
            </w:tcMar>
            <w:vAlign w:val="center"/>
          </w:tcPr>
          <w:p>
            <w:r>
              <w:rPr>
                <w:b/>
              </w:rPr>
              <w:t>Project</w:t>
            </w:r>
          </w:p>
        </w:tc>
        <w:tc>
          <w:tcPr>
            <w:tcW w:type="dxa" w:w="7160"/>
            <w:tcMar>
              <w:top w:w="80" w:type="dxa"/>
              <w:start w:w="120" w:type="dxa"/>
              <w:bottom w:w="80" w:type="dxa"/>
              <w:end w:w="120" w:type="dxa"/>
            </w:tcMar>
            <w:vAlign w:val="center"/>
          </w:tcPr>
          <w:p>
            <w:r>
              <w:t>PocketLab BLE-Controlled Function Generator</w:t>
            </w:r>
          </w:p>
        </w:tc>
      </w:tr>
      <w:tr>
        <w:tc>
          <w:tcPr>
            <w:tcW w:type="dxa" w:w="2200"/>
            <w:shd w:fill="E8EEF5"/>
            <w:tcMar>
              <w:top w:w="80" w:type="dxa"/>
              <w:start w:w="120" w:type="dxa"/>
              <w:bottom w:w="80" w:type="dxa"/>
              <w:end w:w="120" w:type="dxa"/>
            </w:tcMar>
            <w:vAlign w:val="center"/>
          </w:tcPr>
          <w:p>
            <w:r>
              <w:rPr>
                <w:b/>
              </w:rPr>
              <w:t>Test configuration</w:t>
            </w:r>
          </w:p>
        </w:tc>
        <w:tc>
          <w:tcPr>
            <w:tcW w:type="dxa" w:w="7160"/>
            <w:tcMar>
              <w:top w:w="80" w:type="dxa"/>
              <w:start w:w="120" w:type="dxa"/>
              <w:bottom w:w="80" w:type="dxa"/>
              <w:end w:w="120" w:type="dxa"/>
            </w:tcMar>
            <w:vAlign w:val="center"/>
          </w:tcPr>
          <w:p>
            <w:r>
              <w:t>1.00 Vpp, 2.35 V commanded offset, output enabled</w:t>
            </w:r>
          </w:p>
        </w:tc>
      </w:tr>
      <w:tr>
        <w:tc>
          <w:tcPr>
            <w:tcW w:type="dxa" w:w="2200"/>
            <w:shd w:fill="E8EEF5"/>
            <w:tcMar>
              <w:top w:w="80" w:type="dxa"/>
              <w:start w:w="120" w:type="dxa"/>
              <w:bottom w:w="80" w:type="dxa"/>
              <w:end w:w="120" w:type="dxa"/>
            </w:tcMar>
            <w:vAlign w:val="center"/>
          </w:tcPr>
          <w:p>
            <w:r>
              <w:rPr>
                <w:b/>
              </w:rPr>
              <w:t>Signal path</w:t>
            </w:r>
          </w:p>
        </w:tc>
        <w:tc>
          <w:tcPr>
            <w:tcW w:type="dxa" w:w="7160"/>
            <w:tcMar>
              <w:top w:w="80" w:type="dxa"/>
              <w:start w:w="120" w:type="dxa"/>
              <w:bottom w:w="80" w:type="dxa"/>
              <w:end w:w="120" w:type="dxa"/>
            </w:tcMar>
            <w:vAlign w:val="center"/>
          </w:tcPr>
          <w:p>
            <w:r>
              <w:t>AD9833 → 47 µF coupling → X9C103S → OP484</w:t>
            </w:r>
          </w:p>
        </w:tc>
      </w:tr>
      <w:tr>
        <w:tc>
          <w:tcPr>
            <w:tcW w:type="dxa" w:w="2200"/>
            <w:shd w:fill="E8EEF5"/>
            <w:tcMar>
              <w:top w:w="80" w:type="dxa"/>
              <w:start w:w="120" w:type="dxa"/>
              <w:bottom w:w="80" w:type="dxa"/>
              <w:end w:w="120" w:type="dxa"/>
            </w:tcMar>
            <w:vAlign w:val="center"/>
          </w:tcPr>
          <w:p>
            <w:r>
              <w:rPr>
                <w:b/>
              </w:rPr>
              <w:t>Test date / operator</w:t>
            </w:r>
          </w:p>
        </w:tc>
        <w:tc>
          <w:tcPr>
            <w:tcW w:type="dxa" w:w="7160"/>
            <w:tcMar>
              <w:top w:w="80" w:type="dxa"/>
              <w:start w:w="120" w:type="dxa"/>
              <w:bottom w:w="80" w:type="dxa"/>
              <w:end w:w="120" w:type="dxa"/>
            </w:tcMar>
            <w:vAlign w:val="center"/>
          </w:tcPr>
          <w:p>
            <w:r>
              <w:t>July 16, 2026 / Mark Anderson</w:t>
            </w:r>
          </w:p>
        </w:tc>
      </w:tr>
    </w:tbl>
    <w:p>
      <w:pPr>
        <w:pStyle w:val="Heading1"/>
      </w:pPr>
      <w:r>
        <w:t>Executive Summary</w:t>
      </w:r>
    </w:p>
    <w:p>
      <w:r>
        <w:rPr>
          <w:b/>
          <w:color w:val="1F4D78"/>
        </w:rPr>
        <w:t xml:space="preserve">RESULT: PASS WITH CHARACTERIZED LIMITATIONS. </w:t>
      </w:r>
      <w:r>
        <w:t>The offset-enabled analog path remained bounded and stable throughout the sweep. No clipping, rail excursion, or frequency-dependent baseline movement was observed at the tested 1 Vpp setting. The measured center was approximately 2.30 V rather than the commanded 2.35 V, indicating a repeatable calibration offset of about −50 mV.</w:t>
      </w:r>
    </w:p>
    <w:p>
      <w:r>
        <w:t>Both waveforms showed moderate low-frequency amplitude loss at 10 Hz and increasing ripple/distortion above 10–50 kHz. Sine amplitude remained nearly flat through 200 kHz, although waveform fidelity was poor at 100–200 kHz. Triangle amplitude began to decline above 50 kHz and its shape was poor by 100–200 kHz.</w:t>
      </w:r>
    </w:p>
    <w:p>
      <w:pPr>
        <w:pStyle w:val="Heading1"/>
      </w:pPr>
      <w:r>
        <w:t>1. Objective</w:t>
      </w:r>
    </w:p>
    <w:p>
      <w:r>
        <w:t>Evaluate amplitude, DC offset, waveform shape, and phase behavior with offset control enabled at representative frequencies from 10 Hz to 200 kHz. Special attention was given to the low-frequency response of the 47 µF AC-coupling capacitor and to high-frequency waveform degradation.</w:t>
      </w:r>
    </w:p>
    <w:p>
      <w:pPr>
        <w:pStyle w:val="Heading1"/>
      </w:pPr>
      <w:r>
        <w:t>2. Test Configuration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F2F4F7"/>
            <w:tcMar>
              <w:top w:w="80" w:type="dxa"/>
              <w:start w:w="120" w:type="dxa"/>
              <w:bottom w:w="80" w:type="dxa"/>
              <w:end w:w="120" w:type="dxa"/>
            </w:tcMar>
            <w:vAlign w:val="center"/>
          </w:tcPr>
          <w:p>
            <w:pPr>
              <w:jc w:val="center"/>
            </w:pPr>
            <w:r>
              <w:rPr>
                <w:b/>
                <w:color w:val="1F4D78"/>
                <w:sz w:val="18"/>
              </w:rPr>
              <w:t>Parameter</w:t>
            </w:r>
          </w:p>
        </w:tc>
        <w:tc>
          <w:tcPr>
            <w:tcW w:type="dxa" w:w="6560"/>
            <w:shd w:fill="F2F4F7"/>
            <w:tcMar>
              <w:top w:w="80" w:type="dxa"/>
              <w:start w:w="120" w:type="dxa"/>
              <w:bottom w:w="80" w:type="dxa"/>
              <w:end w:w="120" w:type="dxa"/>
            </w:tcMar>
            <w:vAlign w:val="center"/>
          </w:tcPr>
          <w:p>
            <w:pPr>
              <w:jc w:val="center"/>
            </w:pPr>
            <w:r>
              <w:rPr>
                <w:b/>
                <w:color w:val="1F4D78"/>
                <w:sz w:val="18"/>
              </w:rPr>
              <w:t>Setting</w:t>
            </w:r>
          </w:p>
        </w:tc>
      </w:tr>
      <w:tr>
        <w:tc>
          <w:tcPr>
            <w:tcW w:type="dxa" w:w="2800"/>
            <w:tcMar>
              <w:top w:w="80" w:type="dxa"/>
              <w:start w:w="120" w:type="dxa"/>
              <w:bottom w:w="80" w:type="dxa"/>
              <w:end w:w="120" w:type="dxa"/>
            </w:tcMar>
            <w:vAlign w:val="center"/>
          </w:tcPr>
          <w:p>
            <w:pPr>
              <w:jc w:val="center"/>
            </w:pPr>
            <w:r>
              <w:rPr>
                <w:sz w:val="18"/>
              </w:rPr>
              <w:t>Waveforms</w:t>
            </w:r>
          </w:p>
        </w:tc>
        <w:tc>
          <w:tcPr>
            <w:tcW w:type="dxa" w:w="6560"/>
            <w:tcMar>
              <w:top w:w="80" w:type="dxa"/>
              <w:start w:w="120" w:type="dxa"/>
              <w:bottom w:w="80" w:type="dxa"/>
              <w:end w:w="120" w:type="dxa"/>
            </w:tcMar>
            <w:vAlign w:val="center"/>
          </w:tcPr>
          <w:p>
            <w:pPr>
              <w:jc w:val="left"/>
            </w:pPr>
            <w:r>
              <w:rPr>
                <w:sz w:val="18"/>
              </w:rPr>
              <w:t>Sine and triangle</w:t>
            </w:r>
          </w:p>
        </w:tc>
      </w:tr>
      <w:tr>
        <w:tc>
          <w:tcPr>
            <w:tcW w:type="dxa" w:w="2800"/>
            <w:tcMar>
              <w:top w:w="80" w:type="dxa"/>
              <w:start w:w="120" w:type="dxa"/>
              <w:bottom w:w="80" w:type="dxa"/>
              <w:end w:w="120" w:type="dxa"/>
            </w:tcMar>
            <w:vAlign w:val="center"/>
          </w:tcPr>
          <w:p>
            <w:pPr>
              <w:jc w:val="center"/>
            </w:pPr>
            <w:r>
              <w:rPr>
                <w:sz w:val="18"/>
              </w:rPr>
              <w:t>Commanded amplitude</w:t>
            </w:r>
          </w:p>
        </w:tc>
        <w:tc>
          <w:tcPr>
            <w:tcW w:type="dxa" w:w="6560"/>
            <w:tcMar>
              <w:top w:w="80" w:type="dxa"/>
              <w:start w:w="120" w:type="dxa"/>
              <w:bottom w:w="80" w:type="dxa"/>
              <w:end w:w="120" w:type="dxa"/>
            </w:tcMar>
            <w:vAlign w:val="center"/>
          </w:tcPr>
          <w:p>
            <w:pPr>
              <w:jc w:val="left"/>
            </w:pPr>
            <w:r>
              <w:rPr>
                <w:sz w:val="18"/>
              </w:rPr>
              <w:t>1.00 Vpp</w:t>
            </w:r>
          </w:p>
        </w:tc>
      </w:tr>
      <w:tr>
        <w:tc>
          <w:tcPr>
            <w:tcW w:type="dxa" w:w="2800"/>
            <w:tcMar>
              <w:top w:w="80" w:type="dxa"/>
              <w:start w:w="120" w:type="dxa"/>
              <w:bottom w:w="80" w:type="dxa"/>
              <w:end w:w="120" w:type="dxa"/>
            </w:tcMar>
            <w:vAlign w:val="center"/>
          </w:tcPr>
          <w:p>
            <w:pPr>
              <w:jc w:val="center"/>
            </w:pPr>
            <w:r>
              <w:rPr>
                <w:sz w:val="18"/>
              </w:rPr>
              <w:t>Commanded offset</w:t>
            </w:r>
          </w:p>
        </w:tc>
        <w:tc>
          <w:tcPr>
            <w:tcW w:type="dxa" w:w="6560"/>
            <w:tcMar>
              <w:top w:w="80" w:type="dxa"/>
              <w:start w:w="120" w:type="dxa"/>
              <w:bottom w:w="80" w:type="dxa"/>
              <w:end w:w="120" w:type="dxa"/>
            </w:tcMar>
            <w:vAlign w:val="center"/>
          </w:tcPr>
          <w:p>
            <w:pPr>
              <w:jc w:val="left"/>
            </w:pPr>
            <w:r>
              <w:rPr>
                <w:sz w:val="18"/>
              </w:rPr>
              <w:t>2.35 V</w:t>
            </w:r>
          </w:p>
        </w:tc>
      </w:tr>
      <w:tr>
        <w:tc>
          <w:tcPr>
            <w:tcW w:type="dxa" w:w="2800"/>
            <w:tcMar>
              <w:top w:w="80" w:type="dxa"/>
              <w:start w:w="120" w:type="dxa"/>
              <w:bottom w:w="80" w:type="dxa"/>
              <w:end w:w="120" w:type="dxa"/>
            </w:tcMar>
            <w:vAlign w:val="center"/>
          </w:tcPr>
          <w:p>
            <w:pPr>
              <w:jc w:val="center"/>
            </w:pPr>
            <w:r>
              <w:rPr>
                <w:sz w:val="18"/>
              </w:rPr>
              <w:t>Frequencies</w:t>
            </w:r>
          </w:p>
        </w:tc>
        <w:tc>
          <w:tcPr>
            <w:tcW w:type="dxa" w:w="6560"/>
            <w:tcMar>
              <w:top w:w="80" w:type="dxa"/>
              <w:start w:w="120" w:type="dxa"/>
              <w:bottom w:w="80" w:type="dxa"/>
              <w:end w:w="120" w:type="dxa"/>
            </w:tcMar>
            <w:vAlign w:val="center"/>
          </w:tcPr>
          <w:p>
            <w:pPr>
              <w:jc w:val="left"/>
            </w:pPr>
            <w:r>
              <w:rPr>
                <w:sz w:val="18"/>
              </w:rPr>
              <w:t>10 Hz, 100 Hz, 1 kHz, 10 kHz, 50 kHz, 100 kHz, 200 kHz</w:t>
            </w:r>
          </w:p>
        </w:tc>
      </w:tr>
      <w:tr>
        <w:tc>
          <w:tcPr>
            <w:tcW w:type="dxa" w:w="2800"/>
            <w:tcMar>
              <w:top w:w="80" w:type="dxa"/>
              <w:start w:w="120" w:type="dxa"/>
              <w:bottom w:w="80" w:type="dxa"/>
              <w:end w:w="120" w:type="dxa"/>
            </w:tcMar>
            <w:vAlign w:val="center"/>
          </w:tcPr>
          <w:p>
            <w:pPr>
              <w:jc w:val="center"/>
            </w:pPr>
            <w:r>
              <w:rPr>
                <w:sz w:val="18"/>
              </w:rPr>
              <w:t>Oscilloscope coupling</w:t>
            </w:r>
          </w:p>
        </w:tc>
        <w:tc>
          <w:tcPr>
            <w:tcW w:type="dxa" w:w="6560"/>
            <w:tcMar>
              <w:top w:w="80" w:type="dxa"/>
              <w:start w:w="120" w:type="dxa"/>
              <w:bottom w:w="80" w:type="dxa"/>
              <w:end w:w="120" w:type="dxa"/>
            </w:tcMar>
            <w:vAlign w:val="center"/>
          </w:tcPr>
          <w:p>
            <w:pPr>
              <w:jc w:val="left"/>
            </w:pPr>
            <w:r>
              <w:rPr>
                <w:sz w:val="18"/>
              </w:rPr>
              <w:t>DC</w:t>
            </w:r>
          </w:p>
        </w:tc>
      </w:tr>
      <w:tr>
        <w:tc>
          <w:tcPr>
            <w:tcW w:type="dxa" w:w="2800"/>
            <w:tcMar>
              <w:top w:w="80" w:type="dxa"/>
              <w:start w:w="120" w:type="dxa"/>
              <w:bottom w:w="80" w:type="dxa"/>
              <w:end w:w="120" w:type="dxa"/>
            </w:tcMar>
            <w:vAlign w:val="center"/>
          </w:tcPr>
          <w:p>
            <w:pPr>
              <w:jc w:val="center"/>
            </w:pPr>
            <w:r>
              <w:rPr>
                <w:sz w:val="18"/>
              </w:rPr>
              <w:t>Channel 1</w:t>
            </w:r>
          </w:p>
        </w:tc>
        <w:tc>
          <w:tcPr>
            <w:tcW w:type="dxa" w:w="6560"/>
            <w:tcMar>
              <w:top w:w="80" w:type="dxa"/>
              <w:start w:w="120" w:type="dxa"/>
              <w:bottom w:w="80" w:type="dxa"/>
              <w:end w:w="120" w:type="dxa"/>
            </w:tcMar>
            <w:vAlign w:val="center"/>
          </w:tcPr>
          <w:p>
            <w:pPr>
              <w:jc w:val="left"/>
            </w:pPr>
            <w:r>
              <w:rPr>
                <w:sz w:val="18"/>
              </w:rPr>
              <w:t>X9C wiper / OP484 input</w:t>
            </w:r>
          </w:p>
        </w:tc>
      </w:tr>
      <w:tr>
        <w:tc>
          <w:tcPr>
            <w:tcW w:type="dxa" w:w="2800"/>
            <w:tcMar>
              <w:top w:w="80" w:type="dxa"/>
              <w:start w:w="120" w:type="dxa"/>
              <w:bottom w:w="80" w:type="dxa"/>
              <w:end w:w="120" w:type="dxa"/>
            </w:tcMar>
            <w:vAlign w:val="center"/>
          </w:tcPr>
          <w:p>
            <w:pPr>
              <w:jc w:val="center"/>
            </w:pPr>
            <w:r>
              <w:rPr>
                <w:sz w:val="18"/>
              </w:rPr>
              <w:t>Channel 2</w:t>
            </w:r>
          </w:p>
        </w:tc>
        <w:tc>
          <w:tcPr>
            <w:tcW w:type="dxa" w:w="6560"/>
            <w:tcMar>
              <w:top w:w="80" w:type="dxa"/>
              <w:start w:w="120" w:type="dxa"/>
              <w:bottom w:w="80" w:type="dxa"/>
              <w:end w:w="120" w:type="dxa"/>
            </w:tcMar>
            <w:vAlign w:val="center"/>
          </w:tcPr>
          <w:p>
            <w:pPr>
              <w:jc w:val="left"/>
            </w:pPr>
            <w:r>
              <w:rPr>
                <w:sz w:val="18"/>
              </w:rPr>
              <w:t>OP484 output</w:t>
            </w:r>
          </w:p>
        </w:tc>
      </w:tr>
      <w:tr>
        <w:tc>
          <w:tcPr>
            <w:tcW w:type="dxa" w:w="2800"/>
            <w:tcMar>
              <w:top w:w="80" w:type="dxa"/>
              <w:start w:w="120" w:type="dxa"/>
              <w:bottom w:w="80" w:type="dxa"/>
              <w:end w:w="120" w:type="dxa"/>
            </w:tcMar>
            <w:vAlign w:val="center"/>
          </w:tcPr>
          <w:p>
            <w:pPr>
              <w:jc w:val="center"/>
            </w:pPr>
            <w:r>
              <w:rPr>
                <w:sz w:val="18"/>
              </w:rPr>
              <w:t>Acquisition</w:t>
            </w:r>
          </w:p>
        </w:tc>
        <w:tc>
          <w:tcPr>
            <w:tcW w:type="dxa" w:w="6560"/>
            <w:tcMar>
              <w:top w:w="80" w:type="dxa"/>
              <w:start w:w="120" w:type="dxa"/>
              <w:bottom w:w="80" w:type="dxa"/>
              <w:end w:w="120" w:type="dxa"/>
            </w:tcMar>
            <w:vAlign w:val="center"/>
          </w:tcPr>
          <w:p>
            <w:pPr>
              <w:jc w:val="left"/>
            </w:pPr>
            <w:r>
              <w:rPr>
                <w:sz w:val="18"/>
              </w:rPr>
              <w:t>16 Ki samples; timebase and sample rate adjusted by frequency</w:t>
            </w:r>
          </w:p>
        </w:tc>
      </w:tr>
    </w:tbl>
    <w:p>
      <w:pPr>
        <w:spacing w:after="0"/>
      </w:pPr>
    </w:p>
    <w:p>
      <w:r>
        <w:t>Amplitude was taken from the Channel 2 peak-to-peak measurement. Offset was recorded using the Channel 2 average. WaveForms automatic phase measurements are retained as approximate values; their reliability decreases when the waveform is noisy or strongly non-sinusoidal.</w:t>
      </w:r>
    </w:p>
    <w:p>
      <w:pPr>
        <w:pStyle w:val="Heading1"/>
      </w:pPr>
      <w:r>
        <w:t>3. Sine-Wave Results</w:t>
      </w:r>
    </w:p>
    <w:tbl>
      <w:tblPr>
        <w:tblStyle w:val="TableGrid"/>
        <w:tblW w:type="dxa" w:w="9360"/>
        <w:jc w:val="left"/>
        <w:tblLayout w:type="fixed"/>
        <w:tblLook w:firstColumn="1" w:firstRow="1" w:lastColumn="0" w:lastRow="0" w:noHBand="0" w:noVBand="1" w:val="04A0"/>
        <w:tblInd w:w="120" w:type="dxa"/>
      </w:tblPr>
      <w:tblGrid>
        <w:gridCol w:w="1100"/>
        <w:gridCol w:w="1100"/>
        <w:gridCol w:w="1250"/>
        <w:gridCol w:w="1550"/>
        <w:gridCol w:w="1050"/>
        <w:gridCol w:w="3310"/>
      </w:tblGrid>
      <w:tr>
        <w:trPr>
          <w:tblHeader w:val="true"/>
        </w:trPr>
        <w:tc>
          <w:tcPr>
            <w:tcW w:type="dxa" w:w="1100"/>
            <w:shd w:fill="F2F4F7"/>
            <w:tcMar>
              <w:top w:w="80" w:type="dxa"/>
              <w:start w:w="120" w:type="dxa"/>
              <w:bottom w:w="80" w:type="dxa"/>
              <w:end w:w="120" w:type="dxa"/>
            </w:tcMar>
            <w:vAlign w:val="center"/>
          </w:tcPr>
          <w:p>
            <w:pPr>
              <w:jc w:val="center"/>
            </w:pPr>
            <w:r>
              <w:rPr>
                <w:b/>
                <w:color w:val="1F4D78"/>
                <w:sz w:val="17"/>
              </w:rPr>
              <w:t>Frequency</w:t>
            </w:r>
          </w:p>
        </w:tc>
        <w:tc>
          <w:tcPr>
            <w:tcW w:type="dxa" w:w="1100"/>
            <w:shd w:fill="F2F4F7"/>
            <w:tcMar>
              <w:top w:w="80" w:type="dxa"/>
              <w:start w:w="120" w:type="dxa"/>
              <w:bottom w:w="80" w:type="dxa"/>
              <w:end w:w="120" w:type="dxa"/>
            </w:tcMar>
            <w:vAlign w:val="center"/>
          </w:tcPr>
          <w:p>
            <w:pPr>
              <w:jc w:val="center"/>
            </w:pPr>
            <w:r>
              <w:rPr>
                <w:b/>
                <w:color w:val="1F4D78"/>
                <w:sz w:val="17"/>
              </w:rPr>
              <w:t>Vpp (V)</w:t>
            </w:r>
          </w:p>
        </w:tc>
        <w:tc>
          <w:tcPr>
            <w:tcW w:type="dxa" w:w="1250"/>
            <w:shd w:fill="F2F4F7"/>
            <w:tcMar>
              <w:top w:w="80" w:type="dxa"/>
              <w:start w:w="120" w:type="dxa"/>
              <w:bottom w:w="80" w:type="dxa"/>
              <w:end w:w="120" w:type="dxa"/>
            </w:tcMar>
            <w:vAlign w:val="center"/>
          </w:tcPr>
          <w:p>
            <w:pPr>
              <w:jc w:val="center"/>
            </w:pPr>
            <w:r>
              <w:rPr>
                <w:b/>
                <w:color w:val="1F4D78"/>
                <w:sz w:val="17"/>
              </w:rPr>
              <w:t>Average (V)</w:t>
            </w:r>
          </w:p>
        </w:tc>
        <w:tc>
          <w:tcPr>
            <w:tcW w:type="dxa" w:w="1550"/>
            <w:shd w:fill="F2F4F7"/>
            <w:tcMar>
              <w:top w:w="80" w:type="dxa"/>
              <w:start w:w="120" w:type="dxa"/>
              <w:bottom w:w="80" w:type="dxa"/>
              <w:end w:w="120" w:type="dxa"/>
            </w:tcMar>
            <w:vAlign w:val="center"/>
          </w:tcPr>
          <w:p>
            <w:pPr>
              <w:jc w:val="center"/>
            </w:pPr>
            <w:r>
              <w:rPr>
                <w:b/>
                <w:color w:val="1F4D78"/>
                <w:sz w:val="17"/>
              </w:rPr>
              <w:t>Min–Max (V)</w:t>
            </w:r>
          </w:p>
        </w:tc>
        <w:tc>
          <w:tcPr>
            <w:tcW w:type="dxa" w:w="1050"/>
            <w:shd w:fill="F2F4F7"/>
            <w:tcMar>
              <w:top w:w="80" w:type="dxa"/>
              <w:start w:w="120" w:type="dxa"/>
              <w:bottom w:w="80" w:type="dxa"/>
              <w:end w:w="120" w:type="dxa"/>
            </w:tcMar>
            <w:vAlign w:val="center"/>
          </w:tcPr>
          <w:p>
            <w:pPr>
              <w:jc w:val="center"/>
            </w:pPr>
            <w:r>
              <w:rPr>
                <w:b/>
                <w:color w:val="1F4D78"/>
                <w:sz w:val="17"/>
              </w:rPr>
              <w:t>Phase</w:t>
            </w:r>
          </w:p>
        </w:tc>
        <w:tc>
          <w:tcPr>
            <w:tcW w:type="dxa" w:w="3310"/>
            <w:shd w:fill="F2F4F7"/>
            <w:tcMar>
              <w:top w:w="80" w:type="dxa"/>
              <w:start w:w="120" w:type="dxa"/>
              <w:bottom w:w="80" w:type="dxa"/>
              <w:end w:w="120" w:type="dxa"/>
            </w:tcMar>
            <w:vAlign w:val="center"/>
          </w:tcPr>
          <w:p>
            <w:pPr>
              <w:jc w:val="center"/>
            </w:pPr>
            <w:r>
              <w:rPr>
                <w:b/>
                <w:color w:val="1F4D78"/>
                <w:sz w:val="17"/>
              </w:rPr>
              <w:t>Shape</w:t>
            </w:r>
          </w:p>
        </w:tc>
      </w:tr>
      <w:tr>
        <w:tc>
          <w:tcPr>
            <w:tcW w:type="dxa" w:w="1100"/>
            <w:tcMar>
              <w:top w:w="80" w:type="dxa"/>
              <w:start w:w="120" w:type="dxa"/>
              <w:bottom w:w="80" w:type="dxa"/>
              <w:end w:w="120" w:type="dxa"/>
            </w:tcMar>
            <w:vAlign w:val="center"/>
          </w:tcPr>
          <w:p>
            <w:pPr>
              <w:jc w:val="center"/>
            </w:pPr>
            <w:r>
              <w:rPr>
                <w:sz w:val="17"/>
              </w:rPr>
              <w:t>10 Hz</w:t>
            </w:r>
          </w:p>
        </w:tc>
        <w:tc>
          <w:tcPr>
            <w:tcW w:type="dxa" w:w="1100"/>
            <w:tcMar>
              <w:top w:w="80" w:type="dxa"/>
              <w:start w:w="120" w:type="dxa"/>
              <w:bottom w:w="80" w:type="dxa"/>
              <w:end w:w="120" w:type="dxa"/>
            </w:tcMar>
            <w:vAlign w:val="center"/>
          </w:tcPr>
          <w:p>
            <w:pPr>
              <w:jc w:val="center"/>
            </w:pPr>
            <w:r>
              <w:rPr>
                <w:sz w:val="17"/>
              </w:rPr>
              <w:t>0.932</w:t>
            </w:r>
          </w:p>
        </w:tc>
        <w:tc>
          <w:tcPr>
            <w:tcW w:type="dxa" w:w="1250"/>
            <w:tcMar>
              <w:top w:w="80" w:type="dxa"/>
              <w:start w:w="120" w:type="dxa"/>
              <w:bottom w:w="80" w:type="dxa"/>
              <w:end w:w="120" w:type="dxa"/>
            </w:tcMar>
            <w:vAlign w:val="center"/>
          </w:tcPr>
          <w:p>
            <w:pPr>
              <w:jc w:val="center"/>
            </w:pPr>
            <w:r>
              <w:rPr>
                <w:sz w:val="17"/>
              </w:rPr>
              <w:t>2.299</w:t>
            </w:r>
          </w:p>
        </w:tc>
        <w:tc>
          <w:tcPr>
            <w:tcW w:type="dxa" w:w="1550"/>
            <w:tcMar>
              <w:top w:w="80" w:type="dxa"/>
              <w:start w:w="120" w:type="dxa"/>
              <w:bottom w:w="80" w:type="dxa"/>
              <w:end w:w="120" w:type="dxa"/>
            </w:tcMar>
            <w:vAlign w:val="center"/>
          </w:tcPr>
          <w:p>
            <w:pPr>
              <w:jc w:val="center"/>
            </w:pPr>
            <w:r>
              <w:rPr>
                <w:sz w:val="17"/>
              </w:rPr>
              <w:t>1.834–2.765</w:t>
            </w:r>
          </w:p>
        </w:tc>
        <w:tc>
          <w:tcPr>
            <w:tcW w:type="dxa" w:w="1050"/>
            <w:tcMar>
              <w:top w:w="80" w:type="dxa"/>
              <w:start w:w="120" w:type="dxa"/>
              <w:bottom w:w="80" w:type="dxa"/>
              <w:end w:w="120" w:type="dxa"/>
            </w:tcMar>
            <w:vAlign w:val="center"/>
          </w:tcPr>
          <w:p>
            <w:pPr>
              <w:jc w:val="center"/>
            </w:pPr>
            <w:r>
              <w:rPr>
                <w:sz w:val="17"/>
              </w:rPr>
              <w:t>0.34°</w:t>
            </w:r>
          </w:p>
        </w:tc>
        <w:tc>
          <w:tcPr>
            <w:tcW w:type="dxa" w:w="3310"/>
            <w:tcMar>
              <w:top w:w="80" w:type="dxa"/>
              <w:start w:w="120" w:type="dxa"/>
              <w:bottom w:w="80" w:type="dxa"/>
              <w:end w:w="120" w:type="dxa"/>
            </w:tcMar>
            <w:vAlign w:val="center"/>
          </w:tcPr>
          <w:p>
            <w:pPr>
              <w:jc w:val="left"/>
            </w:pPr>
            <w:r>
              <w:rPr>
                <w:sz w:val="17"/>
              </w:rPr>
              <w:t>Clean; low-frequency attenuation</w:t>
            </w:r>
          </w:p>
        </w:tc>
      </w:tr>
      <w:tr>
        <w:tc>
          <w:tcPr>
            <w:tcW w:type="dxa" w:w="1100"/>
            <w:tcMar>
              <w:top w:w="80" w:type="dxa"/>
              <w:start w:w="120" w:type="dxa"/>
              <w:bottom w:w="80" w:type="dxa"/>
              <w:end w:w="120" w:type="dxa"/>
            </w:tcMar>
            <w:vAlign w:val="center"/>
          </w:tcPr>
          <w:p>
            <w:pPr>
              <w:jc w:val="center"/>
            </w:pPr>
            <w:r>
              <w:rPr>
                <w:sz w:val="17"/>
              </w:rPr>
              <w:t>100 Hz</w:t>
            </w:r>
          </w:p>
        </w:tc>
        <w:tc>
          <w:tcPr>
            <w:tcW w:type="dxa" w:w="1100"/>
            <w:tcMar>
              <w:top w:w="80" w:type="dxa"/>
              <w:start w:w="120" w:type="dxa"/>
              <w:bottom w:w="80" w:type="dxa"/>
              <w:end w:w="120" w:type="dxa"/>
            </w:tcMar>
            <w:vAlign w:val="center"/>
          </w:tcPr>
          <w:p>
            <w:pPr>
              <w:jc w:val="center"/>
            </w:pPr>
            <w:r>
              <w:rPr>
                <w:sz w:val="17"/>
              </w:rPr>
              <w:t>0.956</w:t>
            </w:r>
          </w:p>
        </w:tc>
        <w:tc>
          <w:tcPr>
            <w:tcW w:type="dxa" w:w="1250"/>
            <w:tcMar>
              <w:top w:w="80" w:type="dxa"/>
              <w:start w:w="120" w:type="dxa"/>
              <w:bottom w:w="80" w:type="dxa"/>
              <w:end w:w="120" w:type="dxa"/>
            </w:tcMar>
            <w:vAlign w:val="center"/>
          </w:tcPr>
          <w:p>
            <w:pPr>
              <w:jc w:val="center"/>
            </w:pPr>
            <w:r>
              <w:rPr>
                <w:sz w:val="17"/>
              </w:rPr>
              <w:t>2.299</w:t>
            </w:r>
          </w:p>
        </w:tc>
        <w:tc>
          <w:tcPr>
            <w:tcW w:type="dxa" w:w="1550"/>
            <w:tcMar>
              <w:top w:w="80" w:type="dxa"/>
              <w:start w:w="120" w:type="dxa"/>
              <w:bottom w:w="80" w:type="dxa"/>
              <w:end w:w="120" w:type="dxa"/>
            </w:tcMar>
            <w:vAlign w:val="center"/>
          </w:tcPr>
          <w:p>
            <w:pPr>
              <w:jc w:val="center"/>
            </w:pPr>
            <w:r>
              <w:rPr>
                <w:sz w:val="17"/>
              </w:rPr>
              <w:t>1.821–2.778</w:t>
            </w:r>
          </w:p>
        </w:tc>
        <w:tc>
          <w:tcPr>
            <w:tcW w:type="dxa" w:w="1050"/>
            <w:tcMar>
              <w:top w:w="80" w:type="dxa"/>
              <w:start w:w="120" w:type="dxa"/>
              <w:bottom w:w="80" w:type="dxa"/>
              <w:end w:w="120" w:type="dxa"/>
            </w:tcMar>
            <w:vAlign w:val="center"/>
          </w:tcPr>
          <w:p>
            <w:pPr>
              <w:jc w:val="center"/>
            </w:pPr>
            <w:r>
              <w:rPr>
                <w:sz w:val="17"/>
              </w:rPr>
              <w:t>2.72°</w:t>
            </w:r>
          </w:p>
        </w:tc>
        <w:tc>
          <w:tcPr>
            <w:tcW w:type="dxa" w:w="3310"/>
            <w:tcMar>
              <w:top w:w="80" w:type="dxa"/>
              <w:start w:w="120" w:type="dxa"/>
              <w:bottom w:w="80" w:type="dxa"/>
              <w:end w:w="120" w:type="dxa"/>
            </w:tcMar>
            <w:vAlign w:val="center"/>
          </w:tcPr>
          <w:p>
            <w:pPr>
              <w:jc w:val="left"/>
            </w:pPr>
            <w:r>
              <w:rPr>
                <w:sz w:val="17"/>
              </w:rPr>
              <w:t>Clean; amplitude recovering</w:t>
            </w:r>
          </w:p>
        </w:tc>
      </w:tr>
      <w:tr>
        <w:tc>
          <w:tcPr>
            <w:tcW w:type="dxa" w:w="1100"/>
            <w:tcMar>
              <w:top w:w="80" w:type="dxa"/>
              <w:start w:w="120" w:type="dxa"/>
              <w:bottom w:w="80" w:type="dxa"/>
              <w:end w:w="120" w:type="dxa"/>
            </w:tcMar>
            <w:vAlign w:val="center"/>
          </w:tcPr>
          <w:p>
            <w:pPr>
              <w:jc w:val="center"/>
            </w:pPr>
            <w:r>
              <w:rPr>
                <w:sz w:val="17"/>
              </w:rPr>
              <w:t>1 kHz</w:t>
            </w:r>
          </w:p>
        </w:tc>
        <w:tc>
          <w:tcPr>
            <w:tcW w:type="dxa" w:w="1100"/>
            <w:tcMar>
              <w:top w:w="80" w:type="dxa"/>
              <w:start w:w="120" w:type="dxa"/>
              <w:bottom w:w="80" w:type="dxa"/>
              <w:end w:w="120" w:type="dxa"/>
            </w:tcMar>
            <w:vAlign w:val="center"/>
          </w:tcPr>
          <w:p>
            <w:pPr>
              <w:jc w:val="center"/>
            </w:pPr>
            <w:r>
              <w:rPr>
                <w:sz w:val="17"/>
              </w:rPr>
              <w:t>1.061</w:t>
            </w:r>
          </w:p>
        </w:tc>
        <w:tc>
          <w:tcPr>
            <w:tcW w:type="dxa" w:w="1250"/>
            <w:tcMar>
              <w:top w:w="80" w:type="dxa"/>
              <w:start w:w="120" w:type="dxa"/>
              <w:bottom w:w="80" w:type="dxa"/>
              <w:end w:w="120" w:type="dxa"/>
            </w:tcMar>
            <w:vAlign w:val="center"/>
          </w:tcPr>
          <w:p>
            <w:pPr>
              <w:jc w:val="center"/>
            </w:pPr>
            <w:r>
              <w:rPr>
                <w:sz w:val="17"/>
              </w:rPr>
              <w:t>2.299</w:t>
            </w:r>
          </w:p>
        </w:tc>
        <w:tc>
          <w:tcPr>
            <w:tcW w:type="dxa" w:w="1550"/>
            <w:tcMar>
              <w:top w:w="80" w:type="dxa"/>
              <w:start w:w="120" w:type="dxa"/>
              <w:bottom w:w="80" w:type="dxa"/>
              <w:end w:w="120" w:type="dxa"/>
            </w:tcMar>
            <w:vAlign w:val="center"/>
          </w:tcPr>
          <w:p>
            <w:pPr>
              <w:jc w:val="center"/>
            </w:pPr>
            <w:r>
              <w:rPr>
                <w:sz w:val="17"/>
              </w:rPr>
              <w:t>1.765–2.826</w:t>
            </w:r>
          </w:p>
        </w:tc>
        <w:tc>
          <w:tcPr>
            <w:tcW w:type="dxa" w:w="1050"/>
            <w:tcMar>
              <w:top w:w="80" w:type="dxa"/>
              <w:start w:w="120" w:type="dxa"/>
              <w:bottom w:w="80" w:type="dxa"/>
              <w:end w:w="120" w:type="dxa"/>
            </w:tcMar>
            <w:vAlign w:val="center"/>
          </w:tcPr>
          <w:p>
            <w:pPr>
              <w:jc w:val="center"/>
            </w:pPr>
            <w:r>
              <w:rPr>
                <w:sz w:val="17"/>
              </w:rPr>
              <w:t>12.71°</w:t>
            </w:r>
          </w:p>
        </w:tc>
        <w:tc>
          <w:tcPr>
            <w:tcW w:type="dxa" w:w="3310"/>
            <w:tcMar>
              <w:top w:w="80" w:type="dxa"/>
              <w:start w:w="120" w:type="dxa"/>
              <w:bottom w:w="80" w:type="dxa"/>
              <w:end w:w="120" w:type="dxa"/>
            </w:tcMar>
            <w:vAlign w:val="center"/>
          </w:tcPr>
          <w:p>
            <w:pPr>
              <w:jc w:val="left"/>
            </w:pPr>
            <w:r>
              <w:rPr>
                <w:sz w:val="17"/>
              </w:rPr>
              <w:t>Clean fundamental; visible noise</w:t>
            </w:r>
          </w:p>
        </w:tc>
      </w:tr>
      <w:tr>
        <w:tc>
          <w:tcPr>
            <w:tcW w:type="dxa" w:w="1100"/>
            <w:tcMar>
              <w:top w:w="80" w:type="dxa"/>
              <w:start w:w="120" w:type="dxa"/>
              <w:bottom w:w="80" w:type="dxa"/>
              <w:end w:w="120" w:type="dxa"/>
            </w:tcMar>
            <w:vAlign w:val="center"/>
          </w:tcPr>
          <w:p>
            <w:pPr>
              <w:jc w:val="center"/>
            </w:pPr>
            <w:r>
              <w:rPr>
                <w:sz w:val="17"/>
              </w:rPr>
              <w:t>10 kHz</w:t>
            </w:r>
          </w:p>
        </w:tc>
        <w:tc>
          <w:tcPr>
            <w:tcW w:type="dxa" w:w="1100"/>
            <w:tcMar>
              <w:top w:w="80" w:type="dxa"/>
              <w:start w:w="120" w:type="dxa"/>
              <w:bottom w:w="80" w:type="dxa"/>
              <w:end w:w="120" w:type="dxa"/>
            </w:tcMar>
            <w:vAlign w:val="center"/>
          </w:tcPr>
          <w:p>
            <w:pPr>
              <w:jc w:val="center"/>
            </w:pPr>
            <w:r>
              <w:rPr>
                <w:sz w:val="17"/>
              </w:rPr>
              <w:t>1.073</w:t>
            </w:r>
          </w:p>
        </w:tc>
        <w:tc>
          <w:tcPr>
            <w:tcW w:type="dxa" w:w="1250"/>
            <w:tcMar>
              <w:top w:w="80" w:type="dxa"/>
              <w:start w:w="120" w:type="dxa"/>
              <w:bottom w:w="80" w:type="dxa"/>
              <w:end w:w="120" w:type="dxa"/>
            </w:tcMar>
            <w:vAlign w:val="center"/>
          </w:tcPr>
          <w:p>
            <w:pPr>
              <w:jc w:val="center"/>
            </w:pPr>
            <w:r>
              <w:rPr>
                <w:sz w:val="17"/>
              </w:rPr>
              <w:t>2.299</w:t>
            </w:r>
          </w:p>
        </w:tc>
        <w:tc>
          <w:tcPr>
            <w:tcW w:type="dxa" w:w="1550"/>
            <w:tcMar>
              <w:top w:w="80" w:type="dxa"/>
              <w:start w:w="120" w:type="dxa"/>
              <w:bottom w:w="80" w:type="dxa"/>
              <w:end w:w="120" w:type="dxa"/>
            </w:tcMar>
            <w:vAlign w:val="center"/>
          </w:tcPr>
          <w:p>
            <w:pPr>
              <w:jc w:val="center"/>
            </w:pPr>
            <w:r>
              <w:rPr>
                <w:sz w:val="17"/>
              </w:rPr>
              <w:t>1.762–2.835</w:t>
            </w:r>
          </w:p>
        </w:tc>
        <w:tc>
          <w:tcPr>
            <w:tcW w:type="dxa" w:w="1050"/>
            <w:tcMar>
              <w:top w:w="80" w:type="dxa"/>
              <w:start w:w="120" w:type="dxa"/>
              <w:bottom w:w="80" w:type="dxa"/>
              <w:end w:w="120" w:type="dxa"/>
            </w:tcMar>
            <w:vAlign w:val="center"/>
          </w:tcPr>
          <w:p>
            <w:pPr>
              <w:jc w:val="center"/>
            </w:pPr>
            <w:r>
              <w:rPr>
                <w:sz w:val="17"/>
              </w:rPr>
              <w:t>14.02°</w:t>
            </w:r>
          </w:p>
        </w:tc>
        <w:tc>
          <w:tcPr>
            <w:tcW w:type="dxa" w:w="3310"/>
            <w:tcMar>
              <w:top w:w="80" w:type="dxa"/>
              <w:start w:w="120" w:type="dxa"/>
              <w:bottom w:w="80" w:type="dxa"/>
              <w:end w:w="120" w:type="dxa"/>
            </w:tcMar>
            <w:vAlign w:val="center"/>
          </w:tcPr>
          <w:p>
            <w:pPr>
              <w:jc w:val="left"/>
            </w:pPr>
            <w:r>
              <w:rPr>
                <w:sz w:val="17"/>
              </w:rPr>
              <w:t>Sine retained; periodic ripple</w:t>
            </w:r>
          </w:p>
        </w:tc>
      </w:tr>
      <w:tr>
        <w:tc>
          <w:tcPr>
            <w:tcW w:type="dxa" w:w="1100"/>
            <w:tcMar>
              <w:top w:w="80" w:type="dxa"/>
              <w:start w:w="120" w:type="dxa"/>
              <w:bottom w:w="80" w:type="dxa"/>
              <w:end w:w="120" w:type="dxa"/>
            </w:tcMar>
            <w:vAlign w:val="center"/>
          </w:tcPr>
          <w:p>
            <w:pPr>
              <w:jc w:val="center"/>
            </w:pPr>
            <w:r>
              <w:rPr>
                <w:sz w:val="17"/>
              </w:rPr>
              <w:t>50 kHz</w:t>
            </w:r>
          </w:p>
        </w:tc>
        <w:tc>
          <w:tcPr>
            <w:tcW w:type="dxa" w:w="1100"/>
            <w:tcMar>
              <w:top w:w="80" w:type="dxa"/>
              <w:start w:w="120" w:type="dxa"/>
              <w:bottom w:w="80" w:type="dxa"/>
              <w:end w:w="120" w:type="dxa"/>
            </w:tcMar>
            <w:vAlign w:val="center"/>
          </w:tcPr>
          <w:p>
            <w:pPr>
              <w:jc w:val="center"/>
            </w:pPr>
            <w:r>
              <w:rPr>
                <w:sz w:val="17"/>
              </w:rPr>
              <w:t>1.077</w:t>
            </w:r>
          </w:p>
        </w:tc>
        <w:tc>
          <w:tcPr>
            <w:tcW w:type="dxa" w:w="1250"/>
            <w:tcMar>
              <w:top w:w="80" w:type="dxa"/>
              <w:start w:w="120" w:type="dxa"/>
              <w:bottom w:w="80" w:type="dxa"/>
              <w:end w:w="120" w:type="dxa"/>
            </w:tcMar>
            <w:vAlign w:val="center"/>
          </w:tcPr>
          <w:p>
            <w:pPr>
              <w:jc w:val="center"/>
            </w:pPr>
            <w:r>
              <w:rPr>
                <w:sz w:val="17"/>
              </w:rPr>
              <w:t>2.300</w:t>
            </w:r>
          </w:p>
        </w:tc>
        <w:tc>
          <w:tcPr>
            <w:tcW w:type="dxa" w:w="1550"/>
            <w:tcMar>
              <w:top w:w="80" w:type="dxa"/>
              <w:start w:w="120" w:type="dxa"/>
              <w:bottom w:w="80" w:type="dxa"/>
              <w:end w:w="120" w:type="dxa"/>
            </w:tcMar>
            <w:vAlign w:val="center"/>
          </w:tcPr>
          <w:p>
            <w:pPr>
              <w:jc w:val="center"/>
            </w:pPr>
            <w:r>
              <w:rPr>
                <w:sz w:val="17"/>
              </w:rPr>
              <w:t>1.759–2.836</w:t>
            </w:r>
          </w:p>
        </w:tc>
        <w:tc>
          <w:tcPr>
            <w:tcW w:type="dxa" w:w="1050"/>
            <w:tcMar>
              <w:top w:w="80" w:type="dxa"/>
              <w:start w:w="120" w:type="dxa"/>
              <w:bottom w:w="80" w:type="dxa"/>
              <w:end w:w="120" w:type="dxa"/>
            </w:tcMar>
            <w:vAlign w:val="center"/>
          </w:tcPr>
          <w:p>
            <w:pPr>
              <w:jc w:val="center"/>
            </w:pPr>
            <w:r>
              <w:rPr>
                <w:sz w:val="17"/>
              </w:rPr>
              <w:t>14.30°</w:t>
            </w:r>
          </w:p>
        </w:tc>
        <w:tc>
          <w:tcPr>
            <w:tcW w:type="dxa" w:w="3310"/>
            <w:tcMar>
              <w:top w:w="80" w:type="dxa"/>
              <w:start w:w="120" w:type="dxa"/>
              <w:bottom w:w="80" w:type="dxa"/>
              <w:end w:w="120" w:type="dxa"/>
            </w:tcMar>
            <w:vAlign w:val="center"/>
          </w:tcPr>
          <w:p>
            <w:pPr>
              <w:jc w:val="left"/>
            </w:pPr>
            <w:r>
              <w:rPr>
                <w:sz w:val="17"/>
              </w:rPr>
              <w:t>Strong ripple/distortion</w:t>
            </w:r>
          </w:p>
        </w:tc>
      </w:tr>
      <w:tr>
        <w:tc>
          <w:tcPr>
            <w:tcW w:type="dxa" w:w="1100"/>
            <w:tcMar>
              <w:top w:w="80" w:type="dxa"/>
              <w:start w:w="120" w:type="dxa"/>
              <w:bottom w:w="80" w:type="dxa"/>
              <w:end w:w="120" w:type="dxa"/>
            </w:tcMar>
            <w:vAlign w:val="center"/>
          </w:tcPr>
          <w:p>
            <w:pPr>
              <w:jc w:val="center"/>
            </w:pPr>
            <w:r>
              <w:rPr>
                <w:sz w:val="17"/>
              </w:rPr>
              <w:t>100 kHz</w:t>
            </w:r>
          </w:p>
        </w:tc>
        <w:tc>
          <w:tcPr>
            <w:tcW w:type="dxa" w:w="1100"/>
            <w:tcMar>
              <w:top w:w="80" w:type="dxa"/>
              <w:start w:w="120" w:type="dxa"/>
              <w:bottom w:w="80" w:type="dxa"/>
              <w:end w:w="120" w:type="dxa"/>
            </w:tcMar>
            <w:vAlign w:val="center"/>
          </w:tcPr>
          <w:p>
            <w:pPr>
              <w:jc w:val="center"/>
            </w:pPr>
            <w:r>
              <w:rPr>
                <w:sz w:val="17"/>
              </w:rPr>
              <w:t>1.063</w:t>
            </w:r>
          </w:p>
        </w:tc>
        <w:tc>
          <w:tcPr>
            <w:tcW w:type="dxa" w:w="1250"/>
            <w:tcMar>
              <w:top w:w="80" w:type="dxa"/>
              <w:start w:w="120" w:type="dxa"/>
              <w:bottom w:w="80" w:type="dxa"/>
              <w:end w:w="120" w:type="dxa"/>
            </w:tcMar>
            <w:vAlign w:val="center"/>
          </w:tcPr>
          <w:p>
            <w:pPr>
              <w:jc w:val="center"/>
            </w:pPr>
            <w:r>
              <w:rPr>
                <w:sz w:val="17"/>
              </w:rPr>
              <w:t>2.300</w:t>
            </w:r>
          </w:p>
        </w:tc>
        <w:tc>
          <w:tcPr>
            <w:tcW w:type="dxa" w:w="1550"/>
            <w:tcMar>
              <w:top w:w="80" w:type="dxa"/>
              <w:start w:w="120" w:type="dxa"/>
              <w:bottom w:w="80" w:type="dxa"/>
              <w:end w:w="120" w:type="dxa"/>
            </w:tcMar>
            <w:vAlign w:val="center"/>
          </w:tcPr>
          <w:p>
            <w:pPr>
              <w:jc w:val="center"/>
            </w:pPr>
            <w:r>
              <w:rPr>
                <w:sz w:val="17"/>
              </w:rPr>
              <w:t>1.765–2.828</w:t>
            </w:r>
          </w:p>
        </w:tc>
        <w:tc>
          <w:tcPr>
            <w:tcW w:type="dxa" w:w="1050"/>
            <w:tcMar>
              <w:top w:w="80" w:type="dxa"/>
              <w:start w:w="120" w:type="dxa"/>
              <w:bottom w:w="80" w:type="dxa"/>
              <w:end w:w="120" w:type="dxa"/>
            </w:tcMar>
            <w:vAlign w:val="center"/>
          </w:tcPr>
          <w:p>
            <w:pPr>
              <w:jc w:val="center"/>
            </w:pPr>
            <w:r>
              <w:rPr>
                <w:sz w:val="17"/>
              </w:rPr>
              <w:t>15.03°</w:t>
            </w:r>
          </w:p>
        </w:tc>
        <w:tc>
          <w:tcPr>
            <w:tcW w:type="dxa" w:w="3310"/>
            <w:tcMar>
              <w:top w:w="80" w:type="dxa"/>
              <w:start w:w="120" w:type="dxa"/>
              <w:bottom w:w="80" w:type="dxa"/>
              <w:end w:w="120" w:type="dxa"/>
            </w:tcMar>
            <w:vAlign w:val="center"/>
          </w:tcPr>
          <w:p>
            <w:pPr>
              <w:jc w:val="left"/>
            </w:pPr>
            <w:r>
              <w:rPr>
                <w:sz w:val="17"/>
              </w:rPr>
              <w:t>Considerable distortion</w:t>
            </w:r>
          </w:p>
        </w:tc>
      </w:tr>
      <w:tr>
        <w:tc>
          <w:tcPr>
            <w:tcW w:type="dxa" w:w="1100"/>
            <w:tcMar>
              <w:top w:w="80" w:type="dxa"/>
              <w:start w:w="120" w:type="dxa"/>
              <w:bottom w:w="80" w:type="dxa"/>
              <w:end w:w="120" w:type="dxa"/>
            </w:tcMar>
            <w:vAlign w:val="center"/>
          </w:tcPr>
          <w:p>
            <w:pPr>
              <w:jc w:val="center"/>
            </w:pPr>
            <w:r>
              <w:rPr>
                <w:sz w:val="17"/>
              </w:rPr>
              <w:t>200 kHz</w:t>
            </w:r>
          </w:p>
        </w:tc>
        <w:tc>
          <w:tcPr>
            <w:tcW w:type="dxa" w:w="1100"/>
            <w:tcMar>
              <w:top w:w="80" w:type="dxa"/>
              <w:start w:w="120" w:type="dxa"/>
              <w:bottom w:w="80" w:type="dxa"/>
              <w:end w:w="120" w:type="dxa"/>
            </w:tcMar>
            <w:vAlign w:val="center"/>
          </w:tcPr>
          <w:p>
            <w:pPr>
              <w:jc w:val="center"/>
            </w:pPr>
            <w:r>
              <w:rPr>
                <w:sz w:val="17"/>
              </w:rPr>
              <w:t>1.068</w:t>
            </w:r>
          </w:p>
        </w:tc>
        <w:tc>
          <w:tcPr>
            <w:tcW w:type="dxa" w:w="1250"/>
            <w:tcMar>
              <w:top w:w="80" w:type="dxa"/>
              <w:start w:w="120" w:type="dxa"/>
              <w:bottom w:w="80" w:type="dxa"/>
              <w:end w:w="120" w:type="dxa"/>
            </w:tcMar>
            <w:vAlign w:val="center"/>
          </w:tcPr>
          <w:p>
            <w:pPr>
              <w:jc w:val="center"/>
            </w:pPr>
            <w:r>
              <w:rPr>
                <w:sz w:val="17"/>
              </w:rPr>
              <w:t>2.298</w:t>
            </w:r>
          </w:p>
        </w:tc>
        <w:tc>
          <w:tcPr>
            <w:tcW w:type="dxa" w:w="1550"/>
            <w:tcMar>
              <w:top w:w="80" w:type="dxa"/>
              <w:start w:w="120" w:type="dxa"/>
              <w:bottom w:w="80" w:type="dxa"/>
              <w:end w:w="120" w:type="dxa"/>
            </w:tcMar>
            <w:vAlign w:val="center"/>
          </w:tcPr>
          <w:p>
            <w:pPr>
              <w:jc w:val="center"/>
            </w:pPr>
            <w:r>
              <w:rPr>
                <w:sz w:val="17"/>
              </w:rPr>
              <w:t>1.755–2.823</w:t>
            </w:r>
          </w:p>
        </w:tc>
        <w:tc>
          <w:tcPr>
            <w:tcW w:type="dxa" w:w="1050"/>
            <w:tcMar>
              <w:top w:w="80" w:type="dxa"/>
              <w:start w:w="120" w:type="dxa"/>
              <w:bottom w:w="80" w:type="dxa"/>
              <w:end w:w="120" w:type="dxa"/>
            </w:tcMar>
            <w:vAlign w:val="center"/>
          </w:tcPr>
          <w:p>
            <w:pPr>
              <w:jc w:val="center"/>
            </w:pPr>
            <w:r>
              <w:rPr>
                <w:sz w:val="17"/>
              </w:rPr>
              <w:t>18.93°</w:t>
            </w:r>
          </w:p>
        </w:tc>
        <w:tc>
          <w:tcPr>
            <w:tcW w:type="dxa" w:w="3310"/>
            <w:tcMar>
              <w:top w:w="80" w:type="dxa"/>
              <w:start w:w="120" w:type="dxa"/>
              <w:bottom w:w="80" w:type="dxa"/>
              <w:end w:w="120" w:type="dxa"/>
            </w:tcMar>
            <w:vAlign w:val="center"/>
          </w:tcPr>
          <w:p>
            <w:pPr>
              <w:jc w:val="left"/>
            </w:pPr>
            <w:r>
              <w:rPr>
                <w:sz w:val="17"/>
              </w:rPr>
              <w:t>Poor sine fidelity; no clipping</w:t>
            </w:r>
          </w:p>
        </w:tc>
      </w:tr>
    </w:tbl>
    <w:p>
      <w:pPr>
        <w:spacing w:after="0"/>
      </w:pPr>
    </w:p>
    <w:p>
      <w:r>
        <w:t>Sine amplitude increased from 0.932 Vpp at 10 Hz to approximately 1.06–1.08 Vpp from 1 kHz upward. The output average remained within 2.298–2.300 V at all test frequencies.</w:t>
      </w:r>
    </w:p>
    <w:p>
      <w:pPr>
        <w:keepNext/>
        <w:jc w:val="center"/>
      </w:pPr>
      <w:r>
        <w:drawing>
          <wp:inline xmlns:a="http://schemas.openxmlformats.org/drawingml/2006/main" xmlns:pic="http://schemas.openxmlformats.org/drawingml/2006/picture">
            <wp:extent cx="5623560" cy="3377431"/>
            <wp:docPr id="1" name="Picture 1"/>
            <wp:cNvGraphicFramePr>
              <a:graphicFrameLocks noChangeAspect="1"/>
            </wp:cNvGraphicFramePr>
            <a:graphic>
              <a:graphicData uri="http://schemas.openxmlformats.org/drawingml/2006/picture">
                <pic:pic>
                  <pic:nvPicPr>
                    <pic:cNvPr id="0" name="09ffdd7e-d03a-4ddc-ab6f-e0b80a86dcbb.png"/>
                    <pic:cNvPicPr/>
                  </pic:nvPicPr>
                  <pic:blipFill>
                    <a:blip r:embed="rId11"/>
                    <a:stretch>
                      <a:fillRect/>
                    </a:stretch>
                  </pic:blipFill>
                  <pic:spPr>
                    <a:xfrm>
                      <a:off x="0" y="0"/>
                      <a:ext cx="5623560" cy="3377431"/>
                    </a:xfrm>
                    <a:prstGeom prst="rect"/>
                  </pic:spPr>
                </pic:pic>
              </a:graphicData>
            </a:graphic>
          </wp:inline>
        </w:drawing>
      </w:r>
    </w:p>
    <w:p>
      <w:pPr>
        <w:pStyle w:val="Caption"/>
        <w:spacing w:after="160"/>
        <w:jc w:val="center"/>
      </w:pPr>
      <w:r>
        <w:t>Figure 1. 10 Hz sine: clean, stable baseline with 0.932 Vpp output.</w:t>
      </w:r>
    </w:p>
    <w:p>
      <w:pPr>
        <w:keepNext/>
        <w:jc w:val="center"/>
      </w:pPr>
      <w:r>
        <w:drawing>
          <wp:inline xmlns:a="http://schemas.openxmlformats.org/drawingml/2006/main" xmlns:pic="http://schemas.openxmlformats.org/drawingml/2006/picture">
            <wp:extent cx="5623560" cy="3404890"/>
            <wp:docPr id="2" name="Picture 2"/>
            <wp:cNvGraphicFramePr>
              <a:graphicFrameLocks noChangeAspect="1"/>
            </wp:cNvGraphicFramePr>
            <a:graphic>
              <a:graphicData uri="http://schemas.openxmlformats.org/drawingml/2006/picture">
                <pic:pic>
                  <pic:nvPicPr>
                    <pic:cNvPr id="0" name="8a753270-247a-4ad4-923b-0f8a566fd98f.png"/>
                    <pic:cNvPicPr/>
                  </pic:nvPicPr>
                  <pic:blipFill>
                    <a:blip r:embed="rId12"/>
                    <a:stretch>
                      <a:fillRect/>
                    </a:stretch>
                  </pic:blipFill>
                  <pic:spPr>
                    <a:xfrm>
                      <a:off x="0" y="0"/>
                      <a:ext cx="5623560" cy="3404890"/>
                    </a:xfrm>
                    <a:prstGeom prst="rect"/>
                  </pic:spPr>
                </pic:pic>
              </a:graphicData>
            </a:graphic>
          </wp:inline>
        </w:drawing>
      </w:r>
    </w:p>
    <w:p>
      <w:pPr>
        <w:pStyle w:val="Caption"/>
        <w:spacing w:after="160"/>
        <w:jc w:val="center"/>
      </w:pPr>
      <w:r>
        <w:t>Figure 2. 50 kHz sine: amplitude retained, but periodic ripple is prominent.</w:t>
      </w:r>
    </w:p>
    <w:p>
      <w:pPr>
        <w:keepNext/>
        <w:jc w:val="center"/>
      </w:pPr>
      <w:r>
        <w:drawing>
          <wp:inline xmlns:a="http://schemas.openxmlformats.org/drawingml/2006/main" xmlns:pic="http://schemas.openxmlformats.org/drawingml/2006/picture">
            <wp:extent cx="5623560" cy="3382923"/>
            <wp:docPr id="3" name="Picture 3"/>
            <wp:cNvGraphicFramePr>
              <a:graphicFrameLocks noChangeAspect="1"/>
            </wp:cNvGraphicFramePr>
            <a:graphic>
              <a:graphicData uri="http://schemas.openxmlformats.org/drawingml/2006/picture">
                <pic:pic>
                  <pic:nvPicPr>
                    <pic:cNvPr id="0" name="d04fbc4f-e0b6-42a1-935a-9da58ef01561.png"/>
                    <pic:cNvPicPr/>
                  </pic:nvPicPr>
                  <pic:blipFill>
                    <a:blip r:embed="rId13"/>
                    <a:stretch>
                      <a:fillRect/>
                    </a:stretch>
                  </pic:blipFill>
                  <pic:spPr>
                    <a:xfrm>
                      <a:off x="0" y="0"/>
                      <a:ext cx="5623560" cy="3382923"/>
                    </a:xfrm>
                    <a:prstGeom prst="rect"/>
                  </pic:spPr>
                </pic:pic>
              </a:graphicData>
            </a:graphic>
          </wp:inline>
        </w:drawing>
      </w:r>
    </w:p>
    <w:p>
      <w:pPr>
        <w:pStyle w:val="Caption"/>
        <w:spacing w:after="160"/>
        <w:jc w:val="center"/>
      </w:pPr>
      <w:r>
        <w:t>Figure 3. 200 kHz sine: substantial shape distortion without clipping.</w:t>
      </w:r>
    </w:p>
    <w:p>
      <w:pPr>
        <w:pStyle w:val="Heading1"/>
      </w:pPr>
      <w:r>
        <w:t>4. Triangle-Wave Results</w:t>
      </w:r>
    </w:p>
    <w:tbl>
      <w:tblPr>
        <w:tblStyle w:val="TableGrid"/>
        <w:tblW w:type="dxa" w:w="9360"/>
        <w:jc w:val="left"/>
        <w:tblLayout w:type="fixed"/>
        <w:tblLook w:firstColumn="1" w:firstRow="1" w:lastColumn="0" w:lastRow="0" w:noHBand="0" w:noVBand="1" w:val="04A0"/>
        <w:tblInd w:w="120" w:type="dxa"/>
      </w:tblPr>
      <w:tblGrid>
        <w:gridCol w:w="1100"/>
        <w:gridCol w:w="1100"/>
        <w:gridCol w:w="1250"/>
        <w:gridCol w:w="1550"/>
        <w:gridCol w:w="1050"/>
        <w:gridCol w:w="3310"/>
      </w:tblGrid>
      <w:tr>
        <w:trPr>
          <w:tblHeader w:val="true"/>
        </w:trPr>
        <w:tc>
          <w:tcPr>
            <w:tcW w:type="dxa" w:w="1100"/>
            <w:shd w:fill="F2F4F7"/>
            <w:tcMar>
              <w:top w:w="80" w:type="dxa"/>
              <w:start w:w="120" w:type="dxa"/>
              <w:bottom w:w="80" w:type="dxa"/>
              <w:end w:w="120" w:type="dxa"/>
            </w:tcMar>
            <w:vAlign w:val="center"/>
          </w:tcPr>
          <w:p>
            <w:pPr>
              <w:jc w:val="center"/>
            </w:pPr>
            <w:r>
              <w:rPr>
                <w:b/>
                <w:color w:val="1F4D78"/>
                <w:sz w:val="17"/>
              </w:rPr>
              <w:t>Frequency</w:t>
            </w:r>
          </w:p>
        </w:tc>
        <w:tc>
          <w:tcPr>
            <w:tcW w:type="dxa" w:w="1100"/>
            <w:shd w:fill="F2F4F7"/>
            <w:tcMar>
              <w:top w:w="80" w:type="dxa"/>
              <w:start w:w="120" w:type="dxa"/>
              <w:bottom w:w="80" w:type="dxa"/>
              <w:end w:w="120" w:type="dxa"/>
            </w:tcMar>
            <w:vAlign w:val="center"/>
          </w:tcPr>
          <w:p>
            <w:pPr>
              <w:jc w:val="center"/>
            </w:pPr>
            <w:r>
              <w:rPr>
                <w:b/>
                <w:color w:val="1F4D78"/>
                <w:sz w:val="17"/>
              </w:rPr>
              <w:t>Vpp (V)</w:t>
            </w:r>
          </w:p>
        </w:tc>
        <w:tc>
          <w:tcPr>
            <w:tcW w:type="dxa" w:w="1250"/>
            <w:shd w:fill="F2F4F7"/>
            <w:tcMar>
              <w:top w:w="80" w:type="dxa"/>
              <w:start w:w="120" w:type="dxa"/>
              <w:bottom w:w="80" w:type="dxa"/>
              <w:end w:w="120" w:type="dxa"/>
            </w:tcMar>
            <w:vAlign w:val="center"/>
          </w:tcPr>
          <w:p>
            <w:pPr>
              <w:jc w:val="center"/>
            </w:pPr>
            <w:r>
              <w:rPr>
                <w:b/>
                <w:color w:val="1F4D78"/>
                <w:sz w:val="17"/>
              </w:rPr>
              <w:t>Average (V)</w:t>
            </w:r>
          </w:p>
        </w:tc>
        <w:tc>
          <w:tcPr>
            <w:tcW w:type="dxa" w:w="1550"/>
            <w:shd w:fill="F2F4F7"/>
            <w:tcMar>
              <w:top w:w="80" w:type="dxa"/>
              <w:start w:w="120" w:type="dxa"/>
              <w:bottom w:w="80" w:type="dxa"/>
              <w:end w:w="120" w:type="dxa"/>
            </w:tcMar>
            <w:vAlign w:val="center"/>
          </w:tcPr>
          <w:p>
            <w:pPr>
              <w:jc w:val="center"/>
            </w:pPr>
            <w:r>
              <w:rPr>
                <w:b/>
                <w:color w:val="1F4D78"/>
                <w:sz w:val="17"/>
              </w:rPr>
              <w:t>Min–Max (V)</w:t>
            </w:r>
          </w:p>
        </w:tc>
        <w:tc>
          <w:tcPr>
            <w:tcW w:type="dxa" w:w="1050"/>
            <w:shd w:fill="F2F4F7"/>
            <w:tcMar>
              <w:top w:w="80" w:type="dxa"/>
              <w:start w:w="120" w:type="dxa"/>
              <w:bottom w:w="80" w:type="dxa"/>
              <w:end w:w="120" w:type="dxa"/>
            </w:tcMar>
            <w:vAlign w:val="center"/>
          </w:tcPr>
          <w:p>
            <w:pPr>
              <w:jc w:val="center"/>
            </w:pPr>
            <w:r>
              <w:rPr>
                <w:b/>
                <w:color w:val="1F4D78"/>
                <w:sz w:val="17"/>
              </w:rPr>
              <w:t>Phase</w:t>
            </w:r>
          </w:p>
        </w:tc>
        <w:tc>
          <w:tcPr>
            <w:tcW w:type="dxa" w:w="3310"/>
            <w:shd w:fill="F2F4F7"/>
            <w:tcMar>
              <w:top w:w="80" w:type="dxa"/>
              <w:start w:w="120" w:type="dxa"/>
              <w:bottom w:w="80" w:type="dxa"/>
              <w:end w:w="120" w:type="dxa"/>
            </w:tcMar>
            <w:vAlign w:val="center"/>
          </w:tcPr>
          <w:p>
            <w:pPr>
              <w:jc w:val="center"/>
            </w:pPr>
            <w:r>
              <w:rPr>
                <w:b/>
                <w:color w:val="1F4D78"/>
                <w:sz w:val="17"/>
              </w:rPr>
              <w:t>Shape</w:t>
            </w:r>
          </w:p>
        </w:tc>
      </w:tr>
      <w:tr>
        <w:tc>
          <w:tcPr>
            <w:tcW w:type="dxa" w:w="1100"/>
            <w:tcMar>
              <w:top w:w="80" w:type="dxa"/>
              <w:start w:w="120" w:type="dxa"/>
              <w:bottom w:w="80" w:type="dxa"/>
              <w:end w:w="120" w:type="dxa"/>
            </w:tcMar>
            <w:vAlign w:val="center"/>
          </w:tcPr>
          <w:p>
            <w:pPr>
              <w:jc w:val="center"/>
            </w:pPr>
            <w:r>
              <w:rPr>
                <w:sz w:val="17"/>
              </w:rPr>
              <w:t>10 Hz</w:t>
            </w:r>
          </w:p>
        </w:tc>
        <w:tc>
          <w:tcPr>
            <w:tcW w:type="dxa" w:w="1100"/>
            <w:tcMar>
              <w:top w:w="80" w:type="dxa"/>
              <w:start w:w="120" w:type="dxa"/>
              <w:bottom w:w="80" w:type="dxa"/>
              <w:end w:w="120" w:type="dxa"/>
            </w:tcMar>
            <w:vAlign w:val="center"/>
          </w:tcPr>
          <w:p>
            <w:pPr>
              <w:jc w:val="center"/>
            </w:pPr>
            <w:r>
              <w:rPr>
                <w:sz w:val="17"/>
              </w:rPr>
              <w:t>0.930</w:t>
            </w:r>
          </w:p>
        </w:tc>
        <w:tc>
          <w:tcPr>
            <w:tcW w:type="dxa" w:w="1250"/>
            <w:tcMar>
              <w:top w:w="80" w:type="dxa"/>
              <w:start w:w="120" w:type="dxa"/>
              <w:bottom w:w="80" w:type="dxa"/>
              <w:end w:w="120" w:type="dxa"/>
            </w:tcMar>
            <w:vAlign w:val="center"/>
          </w:tcPr>
          <w:p>
            <w:pPr>
              <w:jc w:val="center"/>
            </w:pPr>
            <w:r>
              <w:rPr>
                <w:sz w:val="17"/>
              </w:rPr>
              <w:t>2.299</w:t>
            </w:r>
          </w:p>
        </w:tc>
        <w:tc>
          <w:tcPr>
            <w:tcW w:type="dxa" w:w="1550"/>
            <w:tcMar>
              <w:top w:w="80" w:type="dxa"/>
              <w:start w:w="120" w:type="dxa"/>
              <w:bottom w:w="80" w:type="dxa"/>
              <w:end w:w="120" w:type="dxa"/>
            </w:tcMar>
            <w:vAlign w:val="center"/>
          </w:tcPr>
          <w:p>
            <w:pPr>
              <w:jc w:val="center"/>
            </w:pPr>
            <w:r>
              <w:rPr>
                <w:sz w:val="17"/>
              </w:rPr>
              <w:t>1.835–2.765</w:t>
            </w:r>
          </w:p>
        </w:tc>
        <w:tc>
          <w:tcPr>
            <w:tcW w:type="dxa" w:w="1050"/>
            <w:tcMar>
              <w:top w:w="80" w:type="dxa"/>
              <w:start w:w="120" w:type="dxa"/>
              <w:bottom w:w="80" w:type="dxa"/>
              <w:end w:w="120" w:type="dxa"/>
            </w:tcMar>
            <w:vAlign w:val="center"/>
          </w:tcPr>
          <w:p>
            <w:pPr>
              <w:jc w:val="center"/>
            </w:pPr>
            <w:r>
              <w:rPr>
                <w:sz w:val="17"/>
              </w:rPr>
              <w:t>0.40°</w:t>
            </w:r>
          </w:p>
        </w:tc>
        <w:tc>
          <w:tcPr>
            <w:tcW w:type="dxa" w:w="3310"/>
            <w:tcMar>
              <w:top w:w="80" w:type="dxa"/>
              <w:start w:w="120" w:type="dxa"/>
              <w:bottom w:w="80" w:type="dxa"/>
              <w:end w:w="120" w:type="dxa"/>
            </w:tcMar>
            <w:vAlign w:val="center"/>
          </w:tcPr>
          <w:p>
            <w:pPr>
              <w:jc w:val="left"/>
            </w:pPr>
            <w:r>
              <w:rPr>
                <w:sz w:val="17"/>
              </w:rPr>
              <w:t>Clean, straight slopes; attenuated</w:t>
            </w:r>
          </w:p>
        </w:tc>
      </w:tr>
      <w:tr>
        <w:tc>
          <w:tcPr>
            <w:tcW w:type="dxa" w:w="1100"/>
            <w:tcMar>
              <w:top w:w="80" w:type="dxa"/>
              <w:start w:w="120" w:type="dxa"/>
              <w:bottom w:w="80" w:type="dxa"/>
              <w:end w:w="120" w:type="dxa"/>
            </w:tcMar>
            <w:vAlign w:val="center"/>
          </w:tcPr>
          <w:p>
            <w:pPr>
              <w:jc w:val="center"/>
            </w:pPr>
            <w:r>
              <w:rPr>
                <w:sz w:val="17"/>
              </w:rPr>
              <w:t>100 Hz</w:t>
            </w:r>
          </w:p>
        </w:tc>
        <w:tc>
          <w:tcPr>
            <w:tcW w:type="dxa" w:w="1100"/>
            <w:tcMar>
              <w:top w:w="80" w:type="dxa"/>
              <w:start w:w="120" w:type="dxa"/>
              <w:bottom w:w="80" w:type="dxa"/>
              <w:end w:w="120" w:type="dxa"/>
            </w:tcMar>
            <w:vAlign w:val="center"/>
          </w:tcPr>
          <w:p>
            <w:pPr>
              <w:jc w:val="center"/>
            </w:pPr>
            <w:r>
              <w:rPr>
                <w:sz w:val="17"/>
              </w:rPr>
              <w:t>0.953</w:t>
            </w:r>
          </w:p>
        </w:tc>
        <w:tc>
          <w:tcPr>
            <w:tcW w:type="dxa" w:w="1250"/>
            <w:tcMar>
              <w:top w:w="80" w:type="dxa"/>
              <w:start w:w="120" w:type="dxa"/>
              <w:bottom w:w="80" w:type="dxa"/>
              <w:end w:w="120" w:type="dxa"/>
            </w:tcMar>
            <w:vAlign w:val="center"/>
          </w:tcPr>
          <w:p>
            <w:pPr>
              <w:jc w:val="center"/>
            </w:pPr>
            <w:r>
              <w:rPr>
                <w:sz w:val="17"/>
              </w:rPr>
              <w:t>2.299</w:t>
            </w:r>
          </w:p>
        </w:tc>
        <w:tc>
          <w:tcPr>
            <w:tcW w:type="dxa" w:w="1550"/>
            <w:tcMar>
              <w:top w:w="80" w:type="dxa"/>
              <w:start w:w="120" w:type="dxa"/>
              <w:bottom w:w="80" w:type="dxa"/>
              <w:end w:w="120" w:type="dxa"/>
            </w:tcMar>
            <w:vAlign w:val="center"/>
          </w:tcPr>
          <w:p>
            <w:pPr>
              <w:jc w:val="center"/>
            </w:pPr>
            <w:r>
              <w:rPr>
                <w:sz w:val="17"/>
              </w:rPr>
              <w:t>1.822–2.776</w:t>
            </w:r>
          </w:p>
        </w:tc>
        <w:tc>
          <w:tcPr>
            <w:tcW w:type="dxa" w:w="1050"/>
            <w:tcMar>
              <w:top w:w="80" w:type="dxa"/>
              <w:start w:w="120" w:type="dxa"/>
              <w:bottom w:w="80" w:type="dxa"/>
              <w:end w:w="120" w:type="dxa"/>
            </w:tcMar>
            <w:vAlign w:val="center"/>
          </w:tcPr>
          <w:p>
            <w:pPr>
              <w:jc w:val="center"/>
            </w:pPr>
            <w:r>
              <w:rPr>
                <w:sz w:val="17"/>
              </w:rPr>
              <w:t>3.25°</w:t>
            </w:r>
          </w:p>
        </w:tc>
        <w:tc>
          <w:tcPr>
            <w:tcW w:type="dxa" w:w="3310"/>
            <w:tcMar>
              <w:top w:w="80" w:type="dxa"/>
              <w:start w:w="120" w:type="dxa"/>
              <w:bottom w:w="80" w:type="dxa"/>
              <w:end w:w="120" w:type="dxa"/>
            </w:tcMar>
            <w:vAlign w:val="center"/>
          </w:tcPr>
          <w:p>
            <w:pPr>
              <w:jc w:val="left"/>
            </w:pPr>
            <w:r>
              <w:rPr>
                <w:sz w:val="17"/>
              </w:rPr>
              <w:t>Clean triangle</w:t>
            </w:r>
          </w:p>
        </w:tc>
      </w:tr>
      <w:tr>
        <w:tc>
          <w:tcPr>
            <w:tcW w:type="dxa" w:w="1100"/>
            <w:tcMar>
              <w:top w:w="80" w:type="dxa"/>
              <w:start w:w="120" w:type="dxa"/>
              <w:bottom w:w="80" w:type="dxa"/>
              <w:end w:w="120" w:type="dxa"/>
            </w:tcMar>
            <w:vAlign w:val="center"/>
          </w:tcPr>
          <w:p>
            <w:pPr>
              <w:jc w:val="center"/>
            </w:pPr>
            <w:r>
              <w:rPr>
                <w:sz w:val="17"/>
              </w:rPr>
              <w:t>1 kHz</w:t>
            </w:r>
          </w:p>
        </w:tc>
        <w:tc>
          <w:tcPr>
            <w:tcW w:type="dxa" w:w="1100"/>
            <w:tcMar>
              <w:top w:w="80" w:type="dxa"/>
              <w:start w:w="120" w:type="dxa"/>
              <w:bottom w:w="80" w:type="dxa"/>
              <w:end w:w="120" w:type="dxa"/>
            </w:tcMar>
            <w:vAlign w:val="center"/>
          </w:tcPr>
          <w:p>
            <w:pPr>
              <w:jc w:val="center"/>
            </w:pPr>
            <w:r>
              <w:rPr>
                <w:sz w:val="17"/>
              </w:rPr>
              <w:t>1.060</w:t>
            </w:r>
          </w:p>
        </w:tc>
        <w:tc>
          <w:tcPr>
            <w:tcW w:type="dxa" w:w="1250"/>
            <w:tcMar>
              <w:top w:w="80" w:type="dxa"/>
              <w:start w:w="120" w:type="dxa"/>
              <w:bottom w:w="80" w:type="dxa"/>
              <w:end w:w="120" w:type="dxa"/>
            </w:tcMar>
            <w:vAlign w:val="center"/>
          </w:tcPr>
          <w:p>
            <w:pPr>
              <w:jc w:val="center"/>
            </w:pPr>
            <w:r>
              <w:rPr>
                <w:sz w:val="17"/>
              </w:rPr>
              <w:t>2.299</w:t>
            </w:r>
          </w:p>
        </w:tc>
        <w:tc>
          <w:tcPr>
            <w:tcW w:type="dxa" w:w="1550"/>
            <w:tcMar>
              <w:top w:w="80" w:type="dxa"/>
              <w:start w:w="120" w:type="dxa"/>
              <w:bottom w:w="80" w:type="dxa"/>
              <w:end w:w="120" w:type="dxa"/>
            </w:tcMar>
            <w:vAlign w:val="center"/>
          </w:tcPr>
          <w:p>
            <w:pPr>
              <w:jc w:val="center"/>
            </w:pPr>
            <w:r>
              <w:rPr>
                <w:sz w:val="17"/>
              </w:rPr>
              <w:t>1.767–2.826</w:t>
            </w:r>
          </w:p>
        </w:tc>
        <w:tc>
          <w:tcPr>
            <w:tcW w:type="dxa" w:w="1050"/>
            <w:tcMar>
              <w:top w:w="80" w:type="dxa"/>
              <w:start w:w="120" w:type="dxa"/>
              <w:bottom w:w="80" w:type="dxa"/>
              <w:end w:w="120" w:type="dxa"/>
            </w:tcMar>
            <w:vAlign w:val="center"/>
          </w:tcPr>
          <w:p>
            <w:pPr>
              <w:jc w:val="center"/>
            </w:pPr>
            <w:r>
              <w:rPr>
                <w:sz w:val="17"/>
              </w:rPr>
              <w:t>15.44°</w:t>
            </w:r>
          </w:p>
        </w:tc>
        <w:tc>
          <w:tcPr>
            <w:tcW w:type="dxa" w:w="3310"/>
            <w:tcMar>
              <w:top w:w="80" w:type="dxa"/>
              <w:start w:w="120" w:type="dxa"/>
              <w:bottom w:w="80" w:type="dxa"/>
              <w:end w:w="120" w:type="dxa"/>
            </w:tcMar>
            <w:vAlign w:val="center"/>
          </w:tcPr>
          <w:p>
            <w:pPr>
              <w:jc w:val="left"/>
            </w:pPr>
            <w:r>
              <w:rPr>
                <w:sz w:val="17"/>
              </w:rPr>
              <w:t>Clean shape; noisy trace</w:t>
            </w:r>
          </w:p>
        </w:tc>
      </w:tr>
      <w:tr>
        <w:tc>
          <w:tcPr>
            <w:tcW w:type="dxa" w:w="1100"/>
            <w:tcMar>
              <w:top w:w="80" w:type="dxa"/>
              <w:start w:w="120" w:type="dxa"/>
              <w:bottom w:w="80" w:type="dxa"/>
              <w:end w:w="120" w:type="dxa"/>
            </w:tcMar>
            <w:vAlign w:val="center"/>
          </w:tcPr>
          <w:p>
            <w:pPr>
              <w:jc w:val="center"/>
            </w:pPr>
            <w:r>
              <w:rPr>
                <w:sz w:val="17"/>
              </w:rPr>
              <w:t>10 kHz</w:t>
            </w:r>
          </w:p>
        </w:tc>
        <w:tc>
          <w:tcPr>
            <w:tcW w:type="dxa" w:w="1100"/>
            <w:tcMar>
              <w:top w:w="80" w:type="dxa"/>
              <w:start w:w="120" w:type="dxa"/>
              <w:bottom w:w="80" w:type="dxa"/>
              <w:end w:w="120" w:type="dxa"/>
            </w:tcMar>
            <w:vAlign w:val="center"/>
          </w:tcPr>
          <w:p>
            <w:pPr>
              <w:jc w:val="center"/>
            </w:pPr>
            <w:r>
              <w:rPr>
                <w:sz w:val="17"/>
              </w:rPr>
              <w:t>1.060</w:t>
            </w:r>
          </w:p>
        </w:tc>
        <w:tc>
          <w:tcPr>
            <w:tcW w:type="dxa" w:w="1250"/>
            <w:tcMar>
              <w:top w:w="80" w:type="dxa"/>
              <w:start w:w="120" w:type="dxa"/>
              <w:bottom w:w="80" w:type="dxa"/>
              <w:end w:w="120" w:type="dxa"/>
            </w:tcMar>
            <w:vAlign w:val="center"/>
          </w:tcPr>
          <w:p>
            <w:pPr>
              <w:jc w:val="center"/>
            </w:pPr>
            <w:r>
              <w:rPr>
                <w:sz w:val="17"/>
              </w:rPr>
              <w:t>2.299</w:t>
            </w:r>
          </w:p>
        </w:tc>
        <w:tc>
          <w:tcPr>
            <w:tcW w:type="dxa" w:w="1550"/>
            <w:tcMar>
              <w:top w:w="80" w:type="dxa"/>
              <w:start w:w="120" w:type="dxa"/>
              <w:bottom w:w="80" w:type="dxa"/>
              <w:end w:w="120" w:type="dxa"/>
            </w:tcMar>
            <w:vAlign w:val="center"/>
          </w:tcPr>
          <w:p>
            <w:pPr>
              <w:jc w:val="center"/>
            </w:pPr>
            <w:r>
              <w:rPr>
                <w:sz w:val="17"/>
              </w:rPr>
              <w:t>1.765–2.825</w:t>
            </w:r>
          </w:p>
        </w:tc>
        <w:tc>
          <w:tcPr>
            <w:tcW w:type="dxa" w:w="1050"/>
            <w:tcMar>
              <w:top w:w="80" w:type="dxa"/>
              <w:start w:w="120" w:type="dxa"/>
              <w:bottom w:w="80" w:type="dxa"/>
              <w:end w:w="120" w:type="dxa"/>
            </w:tcMar>
            <w:vAlign w:val="center"/>
          </w:tcPr>
          <w:p>
            <w:pPr>
              <w:jc w:val="center"/>
            </w:pPr>
            <w:r>
              <w:rPr>
                <w:sz w:val="17"/>
              </w:rPr>
              <w:t>16.97°</w:t>
            </w:r>
          </w:p>
        </w:tc>
        <w:tc>
          <w:tcPr>
            <w:tcW w:type="dxa" w:w="3310"/>
            <w:tcMar>
              <w:top w:w="80" w:type="dxa"/>
              <w:start w:w="120" w:type="dxa"/>
              <w:bottom w:w="80" w:type="dxa"/>
              <w:end w:w="120" w:type="dxa"/>
            </w:tcMar>
            <w:vAlign w:val="center"/>
          </w:tcPr>
          <w:p>
            <w:pPr>
              <w:jc w:val="left"/>
            </w:pPr>
            <w:r>
              <w:rPr>
                <w:sz w:val="17"/>
              </w:rPr>
              <w:t>Triangle retained; strong ripple</w:t>
            </w:r>
          </w:p>
        </w:tc>
      </w:tr>
      <w:tr>
        <w:tc>
          <w:tcPr>
            <w:tcW w:type="dxa" w:w="1100"/>
            <w:tcMar>
              <w:top w:w="80" w:type="dxa"/>
              <w:start w:w="120" w:type="dxa"/>
              <w:bottom w:w="80" w:type="dxa"/>
              <w:end w:w="120" w:type="dxa"/>
            </w:tcMar>
            <w:vAlign w:val="center"/>
          </w:tcPr>
          <w:p>
            <w:pPr>
              <w:jc w:val="center"/>
            </w:pPr>
            <w:r>
              <w:rPr>
                <w:sz w:val="17"/>
              </w:rPr>
              <w:t>50 kHz</w:t>
            </w:r>
          </w:p>
        </w:tc>
        <w:tc>
          <w:tcPr>
            <w:tcW w:type="dxa" w:w="1100"/>
            <w:tcMar>
              <w:top w:w="80" w:type="dxa"/>
              <w:start w:w="120" w:type="dxa"/>
              <w:bottom w:w="80" w:type="dxa"/>
              <w:end w:w="120" w:type="dxa"/>
            </w:tcMar>
            <w:vAlign w:val="center"/>
          </w:tcPr>
          <w:p>
            <w:pPr>
              <w:jc w:val="center"/>
            </w:pPr>
            <w:r>
              <w:rPr>
                <w:sz w:val="17"/>
              </w:rPr>
              <w:t>1.059</w:t>
            </w:r>
          </w:p>
        </w:tc>
        <w:tc>
          <w:tcPr>
            <w:tcW w:type="dxa" w:w="1250"/>
            <w:tcMar>
              <w:top w:w="80" w:type="dxa"/>
              <w:start w:w="120" w:type="dxa"/>
              <w:bottom w:w="80" w:type="dxa"/>
              <w:end w:w="120" w:type="dxa"/>
            </w:tcMar>
            <w:vAlign w:val="center"/>
          </w:tcPr>
          <w:p>
            <w:pPr>
              <w:jc w:val="center"/>
            </w:pPr>
            <w:r>
              <w:rPr>
                <w:sz w:val="17"/>
              </w:rPr>
              <w:t>2.291</w:t>
            </w:r>
          </w:p>
        </w:tc>
        <w:tc>
          <w:tcPr>
            <w:tcW w:type="dxa" w:w="1550"/>
            <w:tcMar>
              <w:top w:w="80" w:type="dxa"/>
              <w:start w:w="120" w:type="dxa"/>
              <w:bottom w:w="80" w:type="dxa"/>
              <w:end w:w="120" w:type="dxa"/>
            </w:tcMar>
            <w:vAlign w:val="center"/>
          </w:tcPr>
          <w:p>
            <w:pPr>
              <w:jc w:val="center"/>
            </w:pPr>
            <w:r>
              <w:rPr>
                <w:sz w:val="17"/>
              </w:rPr>
              <w:t>1.768–2.827</w:t>
            </w:r>
          </w:p>
        </w:tc>
        <w:tc>
          <w:tcPr>
            <w:tcW w:type="dxa" w:w="1050"/>
            <w:tcMar>
              <w:top w:w="80" w:type="dxa"/>
              <w:start w:w="120" w:type="dxa"/>
              <w:bottom w:w="80" w:type="dxa"/>
              <w:end w:w="120" w:type="dxa"/>
            </w:tcMar>
            <w:vAlign w:val="center"/>
          </w:tcPr>
          <w:p>
            <w:pPr>
              <w:jc w:val="center"/>
            </w:pPr>
            <w:r>
              <w:rPr>
                <w:sz w:val="17"/>
              </w:rPr>
              <w:t>17.46°</w:t>
            </w:r>
          </w:p>
        </w:tc>
        <w:tc>
          <w:tcPr>
            <w:tcW w:type="dxa" w:w="3310"/>
            <w:tcMar>
              <w:top w:w="80" w:type="dxa"/>
              <w:start w:w="120" w:type="dxa"/>
              <w:bottom w:w="80" w:type="dxa"/>
              <w:end w:w="120" w:type="dxa"/>
            </w:tcMar>
            <w:vAlign w:val="center"/>
          </w:tcPr>
          <w:p>
            <w:pPr>
              <w:jc w:val="left"/>
            </w:pPr>
            <w:r>
              <w:rPr>
                <w:sz w:val="17"/>
              </w:rPr>
              <w:t>Triangular envelope; corrugated</w:t>
            </w:r>
          </w:p>
        </w:tc>
      </w:tr>
      <w:tr>
        <w:tc>
          <w:tcPr>
            <w:tcW w:type="dxa" w:w="1100"/>
            <w:tcMar>
              <w:top w:w="80" w:type="dxa"/>
              <w:start w:w="120" w:type="dxa"/>
              <w:bottom w:w="80" w:type="dxa"/>
              <w:end w:w="120" w:type="dxa"/>
            </w:tcMar>
            <w:vAlign w:val="center"/>
          </w:tcPr>
          <w:p>
            <w:pPr>
              <w:jc w:val="center"/>
            </w:pPr>
            <w:r>
              <w:rPr>
                <w:sz w:val="17"/>
              </w:rPr>
              <w:t>100 kHz</w:t>
            </w:r>
          </w:p>
        </w:tc>
        <w:tc>
          <w:tcPr>
            <w:tcW w:type="dxa" w:w="1100"/>
            <w:tcMar>
              <w:top w:w="80" w:type="dxa"/>
              <w:start w:w="120" w:type="dxa"/>
              <w:bottom w:w="80" w:type="dxa"/>
              <w:end w:w="120" w:type="dxa"/>
            </w:tcMar>
            <w:vAlign w:val="center"/>
          </w:tcPr>
          <w:p>
            <w:pPr>
              <w:jc w:val="center"/>
            </w:pPr>
            <w:r>
              <w:rPr>
                <w:sz w:val="17"/>
              </w:rPr>
              <w:t>1.021</w:t>
            </w:r>
          </w:p>
        </w:tc>
        <w:tc>
          <w:tcPr>
            <w:tcW w:type="dxa" w:w="1250"/>
            <w:tcMar>
              <w:top w:w="80" w:type="dxa"/>
              <w:start w:w="120" w:type="dxa"/>
              <w:bottom w:w="80" w:type="dxa"/>
              <w:end w:w="120" w:type="dxa"/>
            </w:tcMar>
            <w:vAlign w:val="center"/>
          </w:tcPr>
          <w:p>
            <w:pPr>
              <w:jc w:val="center"/>
            </w:pPr>
            <w:r>
              <w:rPr>
                <w:sz w:val="17"/>
              </w:rPr>
              <w:t>2.300</w:t>
            </w:r>
          </w:p>
        </w:tc>
        <w:tc>
          <w:tcPr>
            <w:tcW w:type="dxa" w:w="1550"/>
            <w:tcMar>
              <w:top w:w="80" w:type="dxa"/>
              <w:start w:w="120" w:type="dxa"/>
              <w:bottom w:w="80" w:type="dxa"/>
              <w:end w:w="120" w:type="dxa"/>
            </w:tcMar>
            <w:vAlign w:val="center"/>
          </w:tcPr>
          <w:p>
            <w:pPr>
              <w:jc w:val="center"/>
            </w:pPr>
            <w:r>
              <w:rPr>
                <w:sz w:val="17"/>
              </w:rPr>
              <w:t>1.772–2.793</w:t>
            </w:r>
          </w:p>
        </w:tc>
        <w:tc>
          <w:tcPr>
            <w:tcW w:type="dxa" w:w="1050"/>
            <w:tcMar>
              <w:top w:w="80" w:type="dxa"/>
              <w:start w:w="120" w:type="dxa"/>
              <w:bottom w:w="80" w:type="dxa"/>
              <w:end w:w="120" w:type="dxa"/>
            </w:tcMar>
            <w:vAlign w:val="center"/>
          </w:tcPr>
          <w:p>
            <w:pPr>
              <w:jc w:val="center"/>
            </w:pPr>
            <w:r>
              <w:rPr>
                <w:sz w:val="17"/>
              </w:rPr>
              <w:t>18.32°</w:t>
            </w:r>
          </w:p>
        </w:tc>
        <w:tc>
          <w:tcPr>
            <w:tcW w:type="dxa" w:w="3310"/>
            <w:tcMar>
              <w:top w:w="80" w:type="dxa"/>
              <w:start w:w="120" w:type="dxa"/>
              <w:bottom w:w="80" w:type="dxa"/>
              <w:end w:w="120" w:type="dxa"/>
            </w:tcMar>
            <w:vAlign w:val="center"/>
          </w:tcPr>
          <w:p>
            <w:pPr>
              <w:jc w:val="left"/>
            </w:pPr>
            <w:r>
              <w:rPr>
                <w:sz w:val="17"/>
              </w:rPr>
              <w:t>Uneven slopes; considerable distortion</w:t>
            </w:r>
          </w:p>
        </w:tc>
      </w:tr>
      <w:tr>
        <w:tc>
          <w:tcPr>
            <w:tcW w:type="dxa" w:w="1100"/>
            <w:tcMar>
              <w:top w:w="80" w:type="dxa"/>
              <w:start w:w="120" w:type="dxa"/>
              <w:bottom w:w="80" w:type="dxa"/>
              <w:end w:w="120" w:type="dxa"/>
            </w:tcMar>
            <w:vAlign w:val="center"/>
          </w:tcPr>
          <w:p>
            <w:pPr>
              <w:jc w:val="center"/>
            </w:pPr>
            <w:r>
              <w:rPr>
                <w:sz w:val="17"/>
              </w:rPr>
              <w:t>200 kHz</w:t>
            </w:r>
          </w:p>
        </w:tc>
        <w:tc>
          <w:tcPr>
            <w:tcW w:type="dxa" w:w="1100"/>
            <w:tcMar>
              <w:top w:w="80" w:type="dxa"/>
              <w:start w:w="120" w:type="dxa"/>
              <w:bottom w:w="80" w:type="dxa"/>
              <w:end w:w="120" w:type="dxa"/>
            </w:tcMar>
            <w:vAlign w:val="center"/>
          </w:tcPr>
          <w:p>
            <w:pPr>
              <w:jc w:val="center"/>
            </w:pPr>
            <w:r>
              <w:rPr>
                <w:sz w:val="17"/>
              </w:rPr>
              <w:t>1.009</w:t>
            </w:r>
          </w:p>
        </w:tc>
        <w:tc>
          <w:tcPr>
            <w:tcW w:type="dxa" w:w="1250"/>
            <w:tcMar>
              <w:top w:w="80" w:type="dxa"/>
              <w:start w:w="120" w:type="dxa"/>
              <w:bottom w:w="80" w:type="dxa"/>
              <w:end w:w="120" w:type="dxa"/>
            </w:tcMar>
            <w:vAlign w:val="center"/>
          </w:tcPr>
          <w:p>
            <w:pPr>
              <w:jc w:val="center"/>
            </w:pPr>
            <w:r>
              <w:rPr>
                <w:sz w:val="17"/>
              </w:rPr>
              <w:t>2.298</w:t>
            </w:r>
          </w:p>
        </w:tc>
        <w:tc>
          <w:tcPr>
            <w:tcW w:type="dxa" w:w="1550"/>
            <w:tcMar>
              <w:top w:w="80" w:type="dxa"/>
              <w:start w:w="120" w:type="dxa"/>
              <w:bottom w:w="80" w:type="dxa"/>
              <w:end w:w="120" w:type="dxa"/>
            </w:tcMar>
            <w:vAlign w:val="center"/>
          </w:tcPr>
          <w:p>
            <w:pPr>
              <w:jc w:val="center"/>
            </w:pPr>
            <w:r>
              <w:rPr>
                <w:sz w:val="17"/>
              </w:rPr>
              <w:t>1.789–2.799</w:t>
            </w:r>
          </w:p>
        </w:tc>
        <w:tc>
          <w:tcPr>
            <w:tcW w:type="dxa" w:w="1050"/>
            <w:tcMar>
              <w:top w:w="80" w:type="dxa"/>
              <w:start w:w="120" w:type="dxa"/>
              <w:bottom w:w="80" w:type="dxa"/>
              <w:end w:w="120" w:type="dxa"/>
            </w:tcMar>
            <w:vAlign w:val="center"/>
          </w:tcPr>
          <w:p>
            <w:pPr>
              <w:jc w:val="center"/>
            </w:pPr>
            <w:r>
              <w:rPr>
                <w:sz w:val="17"/>
              </w:rPr>
              <w:t>22.17°</w:t>
            </w:r>
          </w:p>
        </w:tc>
        <w:tc>
          <w:tcPr>
            <w:tcW w:type="dxa" w:w="3310"/>
            <w:tcMar>
              <w:top w:w="80" w:type="dxa"/>
              <w:start w:w="120" w:type="dxa"/>
              <w:bottom w:w="80" w:type="dxa"/>
              <w:end w:w="120" w:type="dxa"/>
            </w:tcMar>
            <w:vAlign w:val="center"/>
          </w:tcPr>
          <w:p>
            <w:pPr>
              <w:jc w:val="left"/>
            </w:pPr>
            <w:r>
              <w:rPr>
                <w:sz w:val="17"/>
              </w:rPr>
              <w:t>Rounded/irregular; poor fidelity</w:t>
            </w:r>
          </w:p>
        </w:tc>
      </w:tr>
    </w:tbl>
    <w:p>
      <w:pPr>
        <w:spacing w:after="0"/>
      </w:pPr>
    </w:p>
    <w:p>
      <w:r>
        <w:t>Triangle amplitude matched the sine response at low and mid frequencies, then declined to 1.021 Vpp at 100 kHz and 1.009 Vpp at 200 kHz. The triangular envelope remained recognizable at 50 kHz, but ripple and peak irregularity dominated at 100–200 kHz.</w:t>
      </w:r>
    </w:p>
    <w:p>
      <w:pPr>
        <w:keepNext/>
        <w:jc w:val="center"/>
      </w:pPr>
      <w:r>
        <w:drawing>
          <wp:inline xmlns:a="http://schemas.openxmlformats.org/drawingml/2006/main" xmlns:pic="http://schemas.openxmlformats.org/drawingml/2006/picture">
            <wp:extent cx="5623560" cy="3410382"/>
            <wp:docPr id="4" name="Picture 4"/>
            <wp:cNvGraphicFramePr>
              <a:graphicFrameLocks noChangeAspect="1"/>
            </wp:cNvGraphicFramePr>
            <a:graphic>
              <a:graphicData uri="http://schemas.openxmlformats.org/drawingml/2006/picture">
                <pic:pic>
                  <pic:nvPicPr>
                    <pic:cNvPr id="0" name="70b4835a-7275-492d-9947-83e875d921e4.png"/>
                    <pic:cNvPicPr/>
                  </pic:nvPicPr>
                  <pic:blipFill>
                    <a:blip r:embed="rId14"/>
                    <a:stretch>
                      <a:fillRect/>
                    </a:stretch>
                  </pic:blipFill>
                  <pic:spPr>
                    <a:xfrm>
                      <a:off x="0" y="0"/>
                      <a:ext cx="5623560" cy="3410382"/>
                    </a:xfrm>
                    <a:prstGeom prst="rect"/>
                  </pic:spPr>
                </pic:pic>
              </a:graphicData>
            </a:graphic>
          </wp:inline>
        </w:drawing>
      </w:r>
    </w:p>
    <w:p>
      <w:pPr>
        <w:pStyle w:val="Caption"/>
        <w:spacing w:after="160"/>
        <w:jc w:val="center"/>
      </w:pPr>
      <w:r>
        <w:t>Figure 4. 10 Hz triangle: straight slopes, stable center, and 0.930 Vpp output.</w:t>
      </w:r>
    </w:p>
    <w:p>
      <w:pPr>
        <w:keepNext/>
        <w:jc w:val="center"/>
      </w:pPr>
      <w:r>
        <w:drawing>
          <wp:inline xmlns:a="http://schemas.openxmlformats.org/drawingml/2006/main" xmlns:pic="http://schemas.openxmlformats.org/drawingml/2006/picture">
            <wp:extent cx="5623560" cy="3404890"/>
            <wp:docPr id="5" name="Picture 5"/>
            <wp:cNvGraphicFramePr>
              <a:graphicFrameLocks noChangeAspect="1"/>
            </wp:cNvGraphicFramePr>
            <a:graphic>
              <a:graphicData uri="http://schemas.openxmlformats.org/drawingml/2006/picture">
                <pic:pic>
                  <pic:nvPicPr>
                    <pic:cNvPr id="0" name="b4da1162-3b27-41d8-b430-a3a98a794465.png"/>
                    <pic:cNvPicPr/>
                  </pic:nvPicPr>
                  <pic:blipFill>
                    <a:blip r:embed="rId15"/>
                    <a:stretch>
                      <a:fillRect/>
                    </a:stretch>
                  </pic:blipFill>
                  <pic:spPr>
                    <a:xfrm>
                      <a:off x="0" y="0"/>
                      <a:ext cx="5623560" cy="3404890"/>
                    </a:xfrm>
                    <a:prstGeom prst="rect"/>
                  </pic:spPr>
                </pic:pic>
              </a:graphicData>
            </a:graphic>
          </wp:inline>
        </w:drawing>
      </w:r>
    </w:p>
    <w:p>
      <w:pPr>
        <w:pStyle w:val="Caption"/>
        <w:spacing w:after="160"/>
        <w:jc w:val="center"/>
      </w:pPr>
      <w:r>
        <w:t>Figure 5. 50 kHz triangle: triangular envelope retained with severe ripple.</w:t>
      </w:r>
    </w:p>
    <w:p>
      <w:pPr>
        <w:keepNext/>
        <w:jc w:val="center"/>
      </w:pPr>
      <w:r>
        <w:drawing>
          <wp:inline xmlns:a="http://schemas.openxmlformats.org/drawingml/2006/main" xmlns:pic="http://schemas.openxmlformats.org/drawingml/2006/picture">
            <wp:extent cx="5623560" cy="3380177"/>
            <wp:docPr id="6" name="Picture 6"/>
            <wp:cNvGraphicFramePr>
              <a:graphicFrameLocks noChangeAspect="1"/>
            </wp:cNvGraphicFramePr>
            <a:graphic>
              <a:graphicData uri="http://schemas.openxmlformats.org/drawingml/2006/picture">
                <pic:pic>
                  <pic:nvPicPr>
                    <pic:cNvPr id="0" name="6c44cc68-53b9-4dd1-a41c-b40badd33e97.png"/>
                    <pic:cNvPicPr/>
                  </pic:nvPicPr>
                  <pic:blipFill>
                    <a:blip r:embed="rId16"/>
                    <a:stretch>
                      <a:fillRect/>
                    </a:stretch>
                  </pic:blipFill>
                  <pic:spPr>
                    <a:xfrm>
                      <a:off x="0" y="0"/>
                      <a:ext cx="5623560" cy="3380177"/>
                    </a:xfrm>
                    <a:prstGeom prst="rect"/>
                  </pic:spPr>
                </pic:pic>
              </a:graphicData>
            </a:graphic>
          </wp:inline>
        </w:drawing>
      </w:r>
    </w:p>
    <w:p>
      <w:pPr>
        <w:pStyle w:val="Caption"/>
        <w:spacing w:after="160"/>
        <w:jc w:val="center"/>
      </w:pPr>
      <w:r>
        <w:t>Figure 6. 200 kHz triangle: rounded, irregular peaks and poor waveform fidelity.</w:t>
      </w:r>
    </w:p>
    <w:p>
      <w:pPr>
        <w:pStyle w:val="Heading1"/>
      </w:pPr>
      <w:r>
        <w:t>5. Analysis</w:t>
      </w:r>
    </w:p>
    <w:p>
      <w:pPr>
        <w:pStyle w:val="Heading2"/>
      </w:pPr>
      <w:r>
        <w:t>5.1 Low-Frequency Coupling Response</w:t>
      </w:r>
    </w:p>
    <w:p>
      <w:r>
        <w:t>Using the observed midband amplitudes as the reference, the 10 Hz sine result is approximately 13.5% below the 50 kHz sine amplitude (about −1.25 dB). The 10 Hz triangle result is approximately 12.3% below its 1–50 kHz midband value (about −1.13 dB). The 100 Hz results remain roughly 10–11% below midband.</w:t>
      </w:r>
    </w:p>
    <w:p>
      <w:r>
        <w:t>The 47 µF coupling capacitor therefore provides usable 10 Hz operation, but it does not produce fully flat amplitude response at the low-frequency limit. Importantly, neither waveform showed obvious baseline tilt, slow movement, or loss of DC-offset control after settling.</w:t>
      </w:r>
    </w:p>
    <w:p>
      <w:pPr>
        <w:pStyle w:val="Heading2"/>
      </w:pPr>
      <w:r>
        <w:t>5.2 Offset Accuracy and Stability</w:t>
      </w:r>
    </w:p>
    <w:p>
      <w:r>
        <w:t>The requested center was 2.35 V. Nearly all output averages measured 2.298–2.300 V, with one 50 kHz triangle capture reading 2.291 V. The approximately −50 mV systematic error is small and stable, suggesting DAC/reference/path calibration rather than frequency-dependent baseline movement.</w:t>
      </w:r>
    </w:p>
    <w:p>
      <w:pPr>
        <w:pStyle w:val="Heading2"/>
      </w:pPr>
      <w:r>
        <w:t>5.3 High-Frequency Fidelity</w:t>
      </w:r>
    </w:p>
    <w:p>
      <w:r>
        <w:t>Periodic ripple was visible on Channel 1 and amplified on Channel 2, indicating that a substantial portion originates before the OP484 output—within or around the AD9833, X9C103S, wiring, grounding, or breadboard signal path. Amplitude measurements alone therefore overstate usable high-frequency performance: magnitude remains near target while waveform purity deteriorates.</w:t>
      </w:r>
    </w:p>
    <w:p>
      <w:pPr>
        <w:pStyle w:val="Heading2"/>
      </w:pPr>
      <w:r>
        <w:t>5.4 Phase Behavior</w:t>
      </w:r>
    </w:p>
    <w:p>
      <w:r>
        <w:t>The automatic phase reading increased with frequency, reaching approximately 19° for the 200 kHz sine and 22° for the 200 kHz triangle. These readings are best treated as trend indicators. The small, noisy Channel 1 signal and the harmonic content of distorted triangle waves reduce the validity of a single automatic phase value.</w:t>
      </w:r>
    </w:p>
    <w:p>
      <w:pPr>
        <w:pStyle w:val="Heading1"/>
      </w:pPr>
      <w:r>
        <w:t>6. Acceptance Assessment</w:t>
      </w:r>
    </w:p>
    <w:tbl>
      <w:tblPr>
        <w:tblStyle w:val="TableGrid"/>
        <w:tblW w:type="dxa" w:w="9360"/>
        <w:jc w:val="left"/>
        <w:tblLayout w:type="fixed"/>
        <w:tblLook w:firstColumn="1" w:firstRow="1" w:lastColumn="0" w:lastRow="0" w:noHBand="0" w:noVBand="1" w:val="04A0"/>
        <w:tblInd w:w="120" w:type="dxa"/>
      </w:tblPr>
      <w:tblGrid>
        <w:gridCol w:w="2900"/>
        <w:gridCol w:w="1700"/>
        <w:gridCol w:w="4760"/>
      </w:tblGrid>
      <w:tr>
        <w:trPr>
          <w:tblHeader w:val="true"/>
        </w:trPr>
        <w:tc>
          <w:tcPr>
            <w:tcW w:type="dxa" w:w="2900"/>
            <w:shd w:fill="F2F4F7"/>
            <w:tcMar>
              <w:top w:w="80" w:type="dxa"/>
              <w:start w:w="120" w:type="dxa"/>
              <w:bottom w:w="80" w:type="dxa"/>
              <w:end w:w="120" w:type="dxa"/>
            </w:tcMar>
            <w:vAlign w:val="center"/>
          </w:tcPr>
          <w:p>
            <w:pPr>
              <w:jc w:val="center"/>
            </w:pPr>
            <w:r>
              <w:rPr>
                <w:b/>
                <w:color w:val="1F4D78"/>
                <w:sz w:val="18"/>
              </w:rPr>
              <w:t>Criterion</w:t>
            </w:r>
          </w:p>
        </w:tc>
        <w:tc>
          <w:tcPr>
            <w:tcW w:type="dxa" w:w="1700"/>
            <w:shd w:fill="F2F4F7"/>
            <w:tcMar>
              <w:top w:w="80" w:type="dxa"/>
              <w:start w:w="120" w:type="dxa"/>
              <w:bottom w:w="80" w:type="dxa"/>
              <w:end w:w="120" w:type="dxa"/>
            </w:tcMar>
            <w:vAlign w:val="center"/>
          </w:tcPr>
          <w:p>
            <w:pPr>
              <w:jc w:val="center"/>
            </w:pPr>
            <w:r>
              <w:rPr>
                <w:b/>
                <w:color w:val="1F4D78"/>
                <w:sz w:val="18"/>
              </w:rPr>
              <w:t>Status</w:t>
            </w:r>
          </w:p>
        </w:tc>
        <w:tc>
          <w:tcPr>
            <w:tcW w:type="dxa" w:w="4760"/>
            <w:shd w:fill="F2F4F7"/>
            <w:tcMar>
              <w:top w:w="80" w:type="dxa"/>
              <w:start w:w="120" w:type="dxa"/>
              <w:bottom w:w="80" w:type="dxa"/>
              <w:end w:w="120" w:type="dxa"/>
            </w:tcMar>
            <w:vAlign w:val="center"/>
          </w:tcPr>
          <w:p>
            <w:pPr>
              <w:jc w:val="center"/>
            </w:pPr>
            <w:r>
              <w:rPr>
                <w:b/>
                <w:color w:val="1F4D78"/>
                <w:sz w:val="18"/>
              </w:rPr>
              <w:t>Evidence</w:t>
            </w:r>
          </w:p>
        </w:tc>
      </w:tr>
      <w:tr>
        <w:tc>
          <w:tcPr>
            <w:tcW w:type="dxa" w:w="2900"/>
            <w:tcMar>
              <w:top w:w="80" w:type="dxa"/>
              <w:start w:w="120" w:type="dxa"/>
              <w:bottom w:w="80" w:type="dxa"/>
              <w:end w:w="120" w:type="dxa"/>
            </w:tcMar>
            <w:vAlign w:val="center"/>
          </w:tcPr>
          <w:p>
            <w:pPr>
              <w:jc w:val="center"/>
            </w:pPr>
            <w:r>
              <w:rPr>
                <w:sz w:val="18"/>
              </w:rPr>
              <w:t>No unsafe rail excursion</w:t>
            </w:r>
          </w:p>
        </w:tc>
        <w:tc>
          <w:tcPr>
            <w:tcW w:type="dxa" w:w="1700"/>
            <w:tcMar>
              <w:top w:w="80" w:type="dxa"/>
              <w:start w:w="120" w:type="dxa"/>
              <w:bottom w:w="80" w:type="dxa"/>
              <w:end w:w="120" w:type="dxa"/>
            </w:tcMar>
            <w:vAlign w:val="center"/>
            <w:shd w:fill="E7F2E8"/>
          </w:tcPr>
          <w:p>
            <w:pPr>
              <w:jc w:val="center"/>
            </w:pPr>
            <w:r>
              <w:rPr>
                <w:sz w:val="18"/>
              </w:rPr>
              <w:t>PASS</w:t>
            </w:r>
          </w:p>
        </w:tc>
        <w:tc>
          <w:tcPr>
            <w:tcW w:type="dxa" w:w="4760"/>
            <w:tcMar>
              <w:top w:w="80" w:type="dxa"/>
              <w:start w:w="120" w:type="dxa"/>
              <w:bottom w:w="80" w:type="dxa"/>
              <w:end w:w="120" w:type="dxa"/>
            </w:tcMar>
            <w:vAlign w:val="center"/>
          </w:tcPr>
          <w:p>
            <w:pPr>
              <w:jc w:val="left"/>
            </w:pPr>
            <w:r>
              <w:rPr>
                <w:sz w:val="18"/>
              </w:rPr>
              <w:t>All outputs remained between approximately 1.75 V and 2.84 V.</w:t>
            </w:r>
          </w:p>
        </w:tc>
      </w:tr>
      <w:tr>
        <w:tc>
          <w:tcPr>
            <w:tcW w:type="dxa" w:w="2900"/>
            <w:tcMar>
              <w:top w:w="80" w:type="dxa"/>
              <w:start w:w="120" w:type="dxa"/>
              <w:bottom w:w="80" w:type="dxa"/>
              <w:end w:w="120" w:type="dxa"/>
            </w:tcMar>
            <w:vAlign w:val="center"/>
          </w:tcPr>
          <w:p>
            <w:pPr>
              <w:jc w:val="center"/>
            </w:pPr>
            <w:r>
              <w:rPr>
                <w:sz w:val="18"/>
              </w:rPr>
              <w:t>Offset stable versus frequency</w:t>
            </w:r>
          </w:p>
        </w:tc>
        <w:tc>
          <w:tcPr>
            <w:tcW w:type="dxa" w:w="1700"/>
            <w:tcMar>
              <w:top w:w="80" w:type="dxa"/>
              <w:start w:w="120" w:type="dxa"/>
              <w:bottom w:w="80" w:type="dxa"/>
              <w:end w:w="120" w:type="dxa"/>
            </w:tcMar>
            <w:vAlign w:val="center"/>
            <w:shd w:fill="E7F2E8"/>
          </w:tcPr>
          <w:p>
            <w:pPr>
              <w:jc w:val="center"/>
            </w:pPr>
            <w:r>
              <w:rPr>
                <w:sz w:val="18"/>
              </w:rPr>
              <w:t>PASS</w:t>
            </w:r>
          </w:p>
        </w:tc>
        <w:tc>
          <w:tcPr>
            <w:tcW w:type="dxa" w:w="4760"/>
            <w:tcMar>
              <w:top w:w="80" w:type="dxa"/>
              <w:start w:w="120" w:type="dxa"/>
              <w:bottom w:w="80" w:type="dxa"/>
              <w:end w:w="120" w:type="dxa"/>
            </w:tcMar>
            <w:vAlign w:val="center"/>
          </w:tcPr>
          <w:p>
            <w:pPr>
              <w:jc w:val="left"/>
            </w:pPr>
            <w:r>
              <w:rPr>
                <w:sz w:val="18"/>
              </w:rPr>
              <w:t>Output average remained near 2.30 V across both sweeps.</w:t>
            </w:r>
          </w:p>
        </w:tc>
      </w:tr>
      <w:tr>
        <w:tc>
          <w:tcPr>
            <w:tcW w:type="dxa" w:w="2900"/>
            <w:tcMar>
              <w:top w:w="80" w:type="dxa"/>
              <w:start w:w="120" w:type="dxa"/>
              <w:bottom w:w="80" w:type="dxa"/>
              <w:end w:w="120" w:type="dxa"/>
            </w:tcMar>
            <w:vAlign w:val="center"/>
          </w:tcPr>
          <w:p>
            <w:pPr>
              <w:jc w:val="center"/>
            </w:pPr>
            <w:r>
              <w:rPr>
                <w:sz w:val="18"/>
              </w:rPr>
              <w:t>1 Vpp amplitude at 1 kHz</w:t>
            </w:r>
          </w:p>
        </w:tc>
        <w:tc>
          <w:tcPr>
            <w:tcW w:type="dxa" w:w="1700"/>
            <w:tcMar>
              <w:top w:w="80" w:type="dxa"/>
              <w:start w:w="120" w:type="dxa"/>
              <w:bottom w:w="80" w:type="dxa"/>
              <w:end w:w="120" w:type="dxa"/>
            </w:tcMar>
            <w:vAlign w:val="center"/>
            <w:shd w:fill="FFF2CC"/>
          </w:tcPr>
          <w:p>
            <w:pPr>
              <w:jc w:val="center"/>
            </w:pPr>
            <w:r>
              <w:rPr>
                <w:sz w:val="18"/>
              </w:rPr>
              <w:t>PASS / CAL</w:t>
            </w:r>
          </w:p>
        </w:tc>
        <w:tc>
          <w:tcPr>
            <w:tcW w:type="dxa" w:w="4760"/>
            <w:tcMar>
              <w:top w:w="80" w:type="dxa"/>
              <w:start w:w="120" w:type="dxa"/>
              <w:bottom w:w="80" w:type="dxa"/>
              <w:end w:w="120" w:type="dxa"/>
            </w:tcMar>
            <w:vAlign w:val="center"/>
          </w:tcPr>
          <w:p>
            <w:pPr>
              <w:jc w:val="left"/>
            </w:pPr>
            <w:r>
              <w:rPr>
                <w:sz w:val="18"/>
              </w:rPr>
              <w:t>Measured approximately 1.06 Vpp; calibration can remove the gain error.</w:t>
            </w:r>
          </w:p>
        </w:tc>
      </w:tr>
      <w:tr>
        <w:tc>
          <w:tcPr>
            <w:tcW w:type="dxa" w:w="2900"/>
            <w:tcMar>
              <w:top w:w="80" w:type="dxa"/>
              <w:start w:w="120" w:type="dxa"/>
              <w:bottom w:w="80" w:type="dxa"/>
              <w:end w:w="120" w:type="dxa"/>
            </w:tcMar>
            <w:vAlign w:val="center"/>
          </w:tcPr>
          <w:p>
            <w:pPr>
              <w:jc w:val="center"/>
            </w:pPr>
            <w:r>
              <w:rPr>
                <w:sz w:val="18"/>
              </w:rPr>
              <w:t>Usable 10 Hz output</w:t>
            </w:r>
          </w:p>
        </w:tc>
        <w:tc>
          <w:tcPr>
            <w:tcW w:type="dxa" w:w="1700"/>
            <w:tcMar>
              <w:top w:w="80" w:type="dxa"/>
              <w:start w:w="120" w:type="dxa"/>
              <w:bottom w:w="80" w:type="dxa"/>
              <w:end w:w="120" w:type="dxa"/>
            </w:tcMar>
            <w:vAlign w:val="center"/>
            <w:shd w:fill="FFF2CC"/>
          </w:tcPr>
          <w:p>
            <w:pPr>
              <w:jc w:val="center"/>
            </w:pPr>
            <w:r>
              <w:rPr>
                <w:sz w:val="18"/>
              </w:rPr>
              <w:t>PASS WITH LOSS</w:t>
            </w:r>
          </w:p>
        </w:tc>
        <w:tc>
          <w:tcPr>
            <w:tcW w:type="dxa" w:w="4760"/>
            <w:tcMar>
              <w:top w:w="80" w:type="dxa"/>
              <w:start w:w="120" w:type="dxa"/>
              <w:bottom w:w="80" w:type="dxa"/>
              <w:end w:w="120" w:type="dxa"/>
            </w:tcMar>
            <w:vAlign w:val="center"/>
          </w:tcPr>
          <w:p>
            <w:pPr>
              <w:jc w:val="left"/>
            </w:pPr>
            <w:r>
              <w:rPr>
                <w:sz w:val="18"/>
              </w:rPr>
              <w:t>Clean waveform and stable baseline; approximately 12–14% attenuation.</w:t>
            </w:r>
          </w:p>
        </w:tc>
      </w:tr>
      <w:tr>
        <w:tc>
          <w:tcPr>
            <w:tcW w:type="dxa" w:w="2900"/>
            <w:tcMar>
              <w:top w:w="80" w:type="dxa"/>
              <w:start w:w="120" w:type="dxa"/>
              <w:bottom w:w="80" w:type="dxa"/>
              <w:end w:w="120" w:type="dxa"/>
            </w:tcMar>
            <w:vAlign w:val="center"/>
          </w:tcPr>
          <w:p>
            <w:pPr>
              <w:jc w:val="center"/>
            </w:pPr>
            <w:r>
              <w:rPr>
                <w:sz w:val="18"/>
              </w:rPr>
              <w:t>High-frequency amplitude retention</w:t>
            </w:r>
          </w:p>
        </w:tc>
        <w:tc>
          <w:tcPr>
            <w:tcW w:type="dxa" w:w="1700"/>
            <w:tcMar>
              <w:top w:w="80" w:type="dxa"/>
              <w:start w:w="120" w:type="dxa"/>
              <w:bottom w:w="80" w:type="dxa"/>
              <w:end w:w="120" w:type="dxa"/>
            </w:tcMar>
            <w:vAlign w:val="center"/>
            <w:shd w:fill="E7F2E8"/>
          </w:tcPr>
          <w:p>
            <w:pPr>
              <w:jc w:val="center"/>
            </w:pPr>
            <w:r>
              <w:rPr>
                <w:sz w:val="18"/>
              </w:rPr>
              <w:t>PASS</w:t>
            </w:r>
          </w:p>
        </w:tc>
        <w:tc>
          <w:tcPr>
            <w:tcW w:type="dxa" w:w="4760"/>
            <w:tcMar>
              <w:top w:w="80" w:type="dxa"/>
              <w:start w:w="120" w:type="dxa"/>
              <w:bottom w:w="80" w:type="dxa"/>
              <w:end w:w="120" w:type="dxa"/>
            </w:tcMar>
            <w:vAlign w:val="center"/>
          </w:tcPr>
          <w:p>
            <w:pPr>
              <w:jc w:val="left"/>
            </w:pPr>
            <w:r>
              <w:rPr>
                <w:sz w:val="18"/>
              </w:rPr>
              <w:t>Sine remained near 1.06–1.08 Vpp through 200 kHz.</w:t>
            </w:r>
          </w:p>
        </w:tc>
      </w:tr>
      <w:tr>
        <w:tc>
          <w:tcPr>
            <w:tcW w:type="dxa" w:w="2900"/>
            <w:tcMar>
              <w:top w:w="80" w:type="dxa"/>
              <w:start w:w="120" w:type="dxa"/>
              <w:bottom w:w="80" w:type="dxa"/>
              <w:end w:w="120" w:type="dxa"/>
            </w:tcMar>
            <w:vAlign w:val="center"/>
          </w:tcPr>
          <w:p>
            <w:pPr>
              <w:jc w:val="center"/>
            </w:pPr>
            <w:r>
              <w:rPr>
                <w:sz w:val="18"/>
              </w:rPr>
              <w:t>High-frequency waveform fidelity</w:t>
            </w:r>
          </w:p>
        </w:tc>
        <w:tc>
          <w:tcPr>
            <w:tcW w:type="dxa" w:w="1700"/>
            <w:tcMar>
              <w:top w:w="80" w:type="dxa"/>
              <w:start w:w="120" w:type="dxa"/>
              <w:bottom w:w="80" w:type="dxa"/>
              <w:end w:w="120" w:type="dxa"/>
            </w:tcMar>
            <w:vAlign w:val="center"/>
            <w:shd w:fill="FFF2CC"/>
          </w:tcPr>
          <w:p>
            <w:pPr>
              <w:jc w:val="center"/>
            </w:pPr>
            <w:r>
              <w:rPr>
                <w:sz w:val="18"/>
              </w:rPr>
              <w:t>LIMITED</w:t>
            </w:r>
          </w:p>
        </w:tc>
        <w:tc>
          <w:tcPr>
            <w:tcW w:type="dxa" w:w="4760"/>
            <w:tcMar>
              <w:top w:w="80" w:type="dxa"/>
              <w:start w:w="120" w:type="dxa"/>
              <w:bottom w:w="80" w:type="dxa"/>
              <w:end w:w="120" w:type="dxa"/>
            </w:tcMar>
            <w:vAlign w:val="center"/>
          </w:tcPr>
          <w:p>
            <w:pPr>
              <w:jc w:val="left"/>
            </w:pPr>
            <w:r>
              <w:rPr>
                <w:sz w:val="18"/>
              </w:rPr>
              <w:t>Visible degradation above 10–50 kHz; poor at 100–200 kHz.</w:t>
            </w:r>
          </w:p>
        </w:tc>
      </w:tr>
    </w:tbl>
    <w:p>
      <w:pPr>
        <w:spacing w:after="0"/>
      </w:pPr>
    </w:p>
    <w:p>
      <w:pPr>
        <w:pStyle w:val="Heading1"/>
      </w:pPr>
      <w:r>
        <w:t>7. Conclusions and Recommended Follow-Up</w:t>
      </w:r>
    </w:p>
    <w:p>
      <w:pPr>
        <w:pStyle w:val="ListBullet"/>
        <w:spacing w:after="80"/>
      </w:pPr>
      <w:r>
        <w:t>Retain the 47 µF coupling capacitor for the current prototype; its 10 Hz response is usable and does not cause baseline instability.</w:t>
      </w:r>
    </w:p>
    <w:p>
      <w:pPr>
        <w:pStyle w:val="ListBullet"/>
        <w:spacing w:after="80"/>
      </w:pPr>
      <w:r>
        <w:t>Add frequency-dependent amplitude calibration only if accurate 1.00 Vpp output at 10–100 Hz is a product requirement.</w:t>
      </w:r>
    </w:p>
    <w:p>
      <w:pPr>
        <w:pStyle w:val="ListBullet"/>
        <w:spacing w:after="80"/>
      </w:pPr>
      <w:r>
        <w:t>Calibrate the DAC/offset transfer so a 2.35 V command produces approximately 2.35 V at the output rather than 2.30 V.</w:t>
      </w:r>
    </w:p>
    <w:p>
      <w:pPr>
        <w:pStyle w:val="ListBullet"/>
        <w:spacing w:after="80"/>
      </w:pPr>
      <w:r>
        <w:t>Prioritize high-frequency noise investigation around grounding, supply decoupling, the X9C103S path, AD9833 clock feedthrough, and breadboard parasitics.</w:t>
      </w:r>
    </w:p>
    <w:p>
      <w:pPr>
        <w:pStyle w:val="ListBullet"/>
        <w:spacing w:after="80"/>
      </w:pPr>
      <w:r>
        <w:t>Use a sine-wave FFT or residual-noise measurement in a later test to quantify the periodic ripple and identify its dominant frequency.</w:t>
      </w:r>
    </w:p>
    <w:p>
      <w:pPr>
        <w:pStyle w:val="ListBullet"/>
        <w:spacing w:after="80"/>
      </w:pPr>
      <w:r>
        <w:t>Treat 100–200 kHz as amplitude-capable but not high-fidelity operation in the present breadboard implementation.</w:t>
      </w:r>
    </w:p>
    <w:p>
      <w:r>
        <w:t>Final disposition: The offset-enabled frequency sweep passed the safety and baseline-stability objectives. Low-frequency attenuation and high-frequency distortion are characterized limitations for subsequent calibration and signal-integrity work.</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PocketLab Frequency Sweep with Offset  •  July 16,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66666"/>
        <w:sz w:val="16"/>
      </w:rPr>
      <w:t>POCKETLAB  |  FUNCTION GENERATOR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4D7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PocketLab Frequency Sweep with Offset Test Results</dc:title>
  <dc:subject>Offset-enabled sine and triangle frequency sweep</dc:subject>
  <dc:creator>Mark Anderson</dc:creator>
  <cp:keywords>PocketLab, AD9833, AD5626, OP484, X9C103S, frequency sweep</cp:keywords>
  <dc:description>generated by python-docx</dc:description>
  <cp:lastModifiedBy/>
  <cp:revision>1</cp:revision>
  <dcterms:created xsi:type="dcterms:W3CDTF">2013-12-23T23:15:00Z</dcterms:created>
  <dcterms:modified xsi:type="dcterms:W3CDTF">2013-12-23T23:15:00Z</dcterms:modified>
  <cp:category/>
</cp:coreProperties>
</file>