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4D78"/>
          <w:sz w:val="46"/>
        </w:rPr>
        <w:t>FUNCTION GENERATOR PROTOTYPE</w:t>
      </w:r>
    </w:p>
    <w:p>
      <w:pPr>
        <w:spacing w:after="280"/>
      </w:pPr>
      <w:r>
        <w:rPr>
          <w:color w:val="666666"/>
          <w:sz w:val="28"/>
        </w:rPr>
        <w:t>Final sine-output, calibration, power-noise, and envelope characterization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232"/>
            <w:shd w:fill="E8EEF5"/>
            <w:vAlign w:val="center"/>
            <w:tcMar>
              <w:top w:w="80" w:type="dxa"/>
              <w:start w:w="120" w:type="dxa"/>
              <w:bottom w:w="80" w:type="dxa"/>
              <w:end w:w="120" w:type="dxa"/>
            </w:tcMar>
          </w:tcPr>
          <w:p>
            <w:r>
              <w:rPr>
                <w:b/>
                <w:sz w:val="18"/>
              </w:rPr>
              <w:t>Field</w:t>
            </w:r>
          </w:p>
        </w:tc>
        <w:tc>
          <w:tcPr>
            <w:tcW w:type="dxa" w:w="7128"/>
            <w:shd w:fill="E8EEF5"/>
            <w:vAlign w:val="center"/>
            <w:tcMar>
              <w:top w:w="80" w:type="dxa"/>
              <w:start w:w="120" w:type="dxa"/>
              <w:bottom w:w="80" w:type="dxa"/>
              <w:end w:w="120" w:type="dxa"/>
            </w:tcMar>
          </w:tcPr>
          <w:p>
            <w:r>
              <w:rPr>
                <w:b/>
                <w:sz w:val="18"/>
              </w:rPr>
              <w:t>Value</w:t>
            </w:r>
          </w:p>
        </w:tc>
      </w:tr>
      <w:tr>
        <w:tc>
          <w:tcPr>
            <w:tcW w:type="dxa" w:w="2232"/>
            <w:vAlign w:val="center"/>
            <w:tcMar>
              <w:top w:w="80" w:type="dxa"/>
              <w:start w:w="120" w:type="dxa"/>
              <w:bottom w:w="80" w:type="dxa"/>
              <w:end w:w="120" w:type="dxa"/>
            </w:tcMar>
          </w:tcPr>
          <w:p>
            <w:pPr>
              <w:spacing w:after="0"/>
            </w:pPr>
            <w:r>
              <w:rPr>
                <w:sz w:val="18"/>
              </w:rPr>
              <w:t>Project</w:t>
            </w:r>
          </w:p>
        </w:tc>
        <w:tc>
          <w:tcPr>
            <w:tcW w:type="dxa" w:w="7128"/>
            <w:vAlign w:val="center"/>
            <w:tcMar>
              <w:top w:w="80" w:type="dxa"/>
              <w:start w:w="120" w:type="dxa"/>
              <w:bottom w:w="80" w:type="dxa"/>
              <w:end w:w="120" w:type="dxa"/>
            </w:tcMar>
          </w:tcPr>
          <w:p>
            <w:pPr>
              <w:spacing w:after="0"/>
            </w:pPr>
            <w:r>
              <w:rPr>
                <w:sz w:val="18"/>
              </w:rPr>
              <w:t>PocketLab modular electronics platform</w:t>
            </w:r>
          </w:p>
        </w:tc>
      </w:tr>
      <w:tr>
        <w:tc>
          <w:tcPr>
            <w:tcW w:type="dxa" w:w="2232"/>
            <w:vAlign w:val="center"/>
            <w:tcMar>
              <w:top w:w="80" w:type="dxa"/>
              <w:start w:w="120" w:type="dxa"/>
              <w:bottom w:w="80" w:type="dxa"/>
              <w:end w:w="120" w:type="dxa"/>
            </w:tcMar>
          </w:tcPr>
          <w:p>
            <w:pPr>
              <w:spacing w:after="0"/>
            </w:pPr>
            <w:r>
              <w:rPr>
                <w:sz w:val="18"/>
              </w:rPr>
              <w:t>Prototype</w:t>
            </w:r>
          </w:p>
        </w:tc>
        <w:tc>
          <w:tcPr>
            <w:tcW w:type="dxa" w:w="7128"/>
            <w:vAlign w:val="center"/>
            <w:tcMar>
              <w:top w:w="80" w:type="dxa"/>
              <w:start w:w="120" w:type="dxa"/>
              <w:bottom w:w="80" w:type="dxa"/>
              <w:end w:w="120" w:type="dxa"/>
            </w:tcMar>
          </w:tcPr>
          <w:p>
            <w:pPr>
              <w:spacing w:after="0"/>
            </w:pPr>
            <w:r>
              <w:rPr>
                <w:sz w:val="18"/>
              </w:rPr>
              <w:t>AD9833 + ISL23415 + AD5626 + TLV9154 + TMA 0505D</w:t>
            </w:r>
          </w:p>
        </w:tc>
      </w:tr>
      <w:tr>
        <w:tc>
          <w:tcPr>
            <w:tcW w:type="dxa" w:w="2232"/>
            <w:vAlign w:val="center"/>
            <w:tcMar>
              <w:top w:w="80" w:type="dxa"/>
              <w:start w:w="120" w:type="dxa"/>
              <w:bottom w:w="80" w:type="dxa"/>
              <w:end w:w="120" w:type="dxa"/>
            </w:tcMar>
          </w:tcPr>
          <w:p>
            <w:pPr>
              <w:spacing w:after="0"/>
            </w:pPr>
            <w:r>
              <w:rPr>
                <w:sz w:val="18"/>
              </w:rPr>
              <w:t>Controller used for tests</w:t>
            </w:r>
          </w:p>
        </w:tc>
        <w:tc>
          <w:tcPr>
            <w:tcW w:type="dxa" w:w="7128"/>
            <w:vAlign w:val="center"/>
            <w:tcMar>
              <w:top w:w="80" w:type="dxa"/>
              <w:start w:w="120" w:type="dxa"/>
              <w:bottom w:w="80" w:type="dxa"/>
              <w:end w:w="120" w:type="dxa"/>
            </w:tcMar>
          </w:tcPr>
          <w:p>
            <w:pPr>
              <w:spacing w:after="0"/>
            </w:pPr>
            <w:r>
              <w:rPr>
                <w:sz w:val="18"/>
              </w:rPr>
              <w:t>ESP32; Bluetooth stopped for analog baseline and final waveform tests</w:t>
            </w:r>
          </w:p>
        </w:tc>
      </w:tr>
      <w:tr>
        <w:tc>
          <w:tcPr>
            <w:tcW w:type="dxa" w:w="2232"/>
            <w:vAlign w:val="center"/>
            <w:tcMar>
              <w:top w:w="80" w:type="dxa"/>
              <w:start w:w="120" w:type="dxa"/>
              <w:bottom w:w="80" w:type="dxa"/>
              <w:end w:w="120" w:type="dxa"/>
            </w:tcMar>
          </w:tcPr>
          <w:p>
            <w:pPr>
              <w:spacing w:after="0"/>
            </w:pPr>
            <w:r>
              <w:rPr>
                <w:sz w:val="18"/>
              </w:rPr>
              <w:t>Measurement instrument</w:t>
            </w:r>
          </w:p>
        </w:tc>
        <w:tc>
          <w:tcPr>
            <w:tcW w:type="dxa" w:w="7128"/>
            <w:vAlign w:val="center"/>
            <w:tcMar>
              <w:top w:w="80" w:type="dxa"/>
              <w:start w:w="120" w:type="dxa"/>
              <w:bottom w:w="80" w:type="dxa"/>
              <w:end w:w="120" w:type="dxa"/>
            </w:tcMar>
          </w:tcPr>
          <w:p>
            <w:pPr>
              <w:spacing w:after="0"/>
            </w:pPr>
            <w:r>
              <w:rPr>
                <w:sz w:val="18"/>
              </w:rPr>
              <w:t>Digilent Analog Discovery 3 / WaveForms</w:t>
            </w:r>
          </w:p>
        </w:tc>
      </w:tr>
      <w:tr>
        <w:tc>
          <w:tcPr>
            <w:tcW w:type="dxa" w:w="2232"/>
            <w:vAlign w:val="center"/>
            <w:tcMar>
              <w:top w:w="80" w:type="dxa"/>
              <w:start w:w="120" w:type="dxa"/>
              <w:bottom w:w="80" w:type="dxa"/>
              <w:end w:w="120" w:type="dxa"/>
            </w:tcMar>
          </w:tcPr>
          <w:p>
            <w:pPr>
              <w:spacing w:after="0"/>
            </w:pPr>
            <w:r>
              <w:rPr>
                <w:sz w:val="18"/>
              </w:rPr>
              <w:t>Purpose</w:t>
            </w:r>
          </w:p>
        </w:tc>
        <w:tc>
          <w:tcPr>
            <w:tcW w:type="dxa" w:w="7128"/>
            <w:vAlign w:val="center"/>
            <w:tcMar>
              <w:top w:w="80" w:type="dxa"/>
              <w:start w:w="120" w:type="dxa"/>
              <w:bottom w:w="80" w:type="dxa"/>
              <w:end w:w="120" w:type="dxa"/>
            </w:tcMar>
          </w:tcPr>
          <w:p>
            <w:pPr>
              <w:spacing w:after="0"/>
            </w:pPr>
            <w:r>
              <w:rPr>
                <w:sz w:val="18"/>
              </w:rPr>
              <w:t>Freeze the breadboard revision and preserve design evidence for a future function-generator cartridge</w:t>
            </w:r>
          </w:p>
        </w:tc>
      </w:tr>
    </w:tbl>
    <w:p>
      <w:pPr>
        <w:spacing w:after="0"/>
      </w:pPr>
    </w:p>
    <w:p>
      <w:pPr>
        <w:pStyle w:val="Heading1"/>
      </w:pPr>
      <w:r>
        <w:t>Executive summary</w:t>
      </w:r>
    </w:p>
    <w:p>
      <w:r>
        <w:t>The prototype met its central goal: a digitally controlled bipolar sine output with accurate amplitude and offset control. Replacing the X9C with the ISL23415 materially improved amplitude calibration, while a simple input filter on the isolated DC-DC converter reduced converter-coupled supply noise to near the background level. Within the recommended output envelope, the final waveform is clean, symmetric, and stable.</w:t>
      </w:r>
    </w:p>
    <w:p>
      <w:pPr>
        <w:pStyle w:val="ListBullet"/>
        <w:spacing w:after="80"/>
      </w:pPr>
      <w:r>
        <w:t>Calibrated normal sine range: 1–9 Vpp; representative 5.00 Vpp request measured 5.002 Vpp (+0.04%).</w:t>
      </w:r>
    </w:p>
    <w:p>
      <w:pPr>
        <w:pStyle w:val="ListBullet"/>
        <w:spacing w:after="80"/>
      </w:pPr>
      <w:r>
        <w:t>Recommended zero-offset ceiling: about 9.5 Vpp. Compression begins above this region; 10 Vpp is experimental over-range.</w:t>
      </w:r>
    </w:p>
    <w:p>
      <w:pPr>
        <w:pStyle w:val="ListBullet"/>
        <w:spacing w:after="80"/>
      </w:pPr>
      <w:r>
        <w:t>Practical unclipped envelope: Vpp/2 + |offset| ≤ approximately 4.7 V.</w:t>
      </w:r>
    </w:p>
    <w:p>
      <w:pPr>
        <w:pStyle w:val="ListBullet"/>
        <w:spacing w:after="80"/>
      </w:pPr>
      <w:r>
        <w:t>TMA input filter retained: 4.7 Ω series resistance with 47 µF || 100 nF directly at the converter input.</w:t>
      </w:r>
    </w:p>
    <w:p>
      <w:pPr>
        <w:pStyle w:val="ListBullet"/>
        <w:spacing w:after="80"/>
      </w:pPr>
      <w:r>
        <w:t>Full-amplitude sine performance is clean through roughly 10 kHz; degradation begins near 50 kHz.</w:t>
      </w:r>
    </w:p>
    <w:p>
      <w:pPr>
        <w:pStyle w:val="ListBullet"/>
        <w:spacing w:after="80"/>
      </w:pPr>
      <w:r>
        <w:t>At 100 kHz, usable amplitude is strongly amplitude-dependent: about 1 Vpp remains sinusoidal, while 2 Vpp and above become progressively triangular.</w:t>
      </w:r>
    </w:p>
    <w:p>
      <w:pPr>
        <w:pStyle w:val="ListBullet"/>
        <w:spacing w:after="80"/>
      </w:pPr>
      <w:r>
        <w:t>The high-frequency limitation was localized to TLV9154 Amp D (pins 12–14), the approximately ×19.6 gain stage.</w:t>
      </w:r>
    </w:p>
    <w:p>
      <w:pPr>
        <w:pStyle w:val="ListBullet"/>
        <w:spacing w:after="80"/>
      </w:pPr>
      <w:r>
        <w:t>Large 60 ms supply dips were traced to the temporary ESP32 BLE controller and are deferred because the modular system will use an nRF52832 base unit.</w:t>
      </w:r>
    </w:p>
    <w:p>
      <w:pPr>
        <w:pStyle w:val="Heading1"/>
      </w:pPr>
      <w:r>
        <w:t>1. Prototype configuration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376"/>
            <w:shd w:fill="E8EEF5"/>
            <w:vAlign w:val="center"/>
            <w:tcMar>
              <w:top w:w="80" w:type="dxa"/>
              <w:start w:w="120" w:type="dxa"/>
              <w:bottom w:w="80" w:type="dxa"/>
              <w:end w:w="120" w:type="dxa"/>
            </w:tcMar>
          </w:tcPr>
          <w:p>
            <w:r>
              <w:rPr>
                <w:b/>
                <w:sz w:val="18"/>
              </w:rPr>
              <w:t>Block</w:t>
            </w:r>
          </w:p>
        </w:tc>
        <w:tc>
          <w:tcPr>
            <w:tcW w:type="dxa" w:w="6984"/>
            <w:shd w:fill="E8EEF5"/>
            <w:vAlign w:val="center"/>
            <w:tcMar>
              <w:top w:w="80" w:type="dxa"/>
              <w:start w:w="120" w:type="dxa"/>
              <w:bottom w:w="80" w:type="dxa"/>
              <w:end w:w="120" w:type="dxa"/>
            </w:tcMar>
          </w:tcPr>
          <w:p>
            <w:r>
              <w:rPr>
                <w:b/>
                <w:sz w:val="18"/>
              </w:rPr>
              <w:t>Implementation / role</w:t>
            </w:r>
          </w:p>
        </w:tc>
      </w:tr>
      <w:tr>
        <w:tc>
          <w:tcPr>
            <w:tcW w:type="dxa" w:w="2376"/>
            <w:vAlign w:val="center"/>
            <w:tcMar>
              <w:top w:w="80" w:type="dxa"/>
              <w:start w:w="120" w:type="dxa"/>
              <w:bottom w:w="80" w:type="dxa"/>
              <w:end w:w="120" w:type="dxa"/>
            </w:tcMar>
          </w:tcPr>
          <w:p>
            <w:pPr>
              <w:spacing w:after="0"/>
            </w:pPr>
            <w:r>
              <w:rPr>
                <w:sz w:val="18"/>
              </w:rPr>
              <w:t>DDS</w:t>
            </w:r>
          </w:p>
        </w:tc>
        <w:tc>
          <w:tcPr>
            <w:tcW w:type="dxa" w:w="6984"/>
            <w:vAlign w:val="center"/>
            <w:tcMar>
              <w:top w:w="80" w:type="dxa"/>
              <w:start w:w="120" w:type="dxa"/>
              <w:bottom w:w="80" w:type="dxa"/>
              <w:end w:w="120" w:type="dxa"/>
            </w:tcMar>
          </w:tcPr>
          <w:p>
            <w:pPr>
              <w:spacing w:after="0"/>
            </w:pPr>
            <w:r>
              <w:rPr>
                <w:sz w:val="18"/>
              </w:rPr>
              <w:t>AD9833 sine/triangle source</w:t>
            </w:r>
          </w:p>
        </w:tc>
      </w:tr>
      <w:tr>
        <w:tc>
          <w:tcPr>
            <w:tcW w:type="dxa" w:w="2376"/>
            <w:vAlign w:val="center"/>
            <w:tcMar>
              <w:top w:w="80" w:type="dxa"/>
              <w:start w:w="120" w:type="dxa"/>
              <w:bottom w:w="80" w:type="dxa"/>
              <w:end w:w="120" w:type="dxa"/>
            </w:tcMar>
          </w:tcPr>
          <w:p>
            <w:pPr>
              <w:spacing w:after="0"/>
            </w:pPr>
            <w:r>
              <w:rPr>
                <w:sz w:val="18"/>
              </w:rPr>
              <w:t>Amplitude control</w:t>
            </w:r>
          </w:p>
        </w:tc>
        <w:tc>
          <w:tcPr>
            <w:tcW w:type="dxa" w:w="6984"/>
            <w:vAlign w:val="center"/>
            <w:tcMar>
              <w:top w:w="80" w:type="dxa"/>
              <w:start w:w="120" w:type="dxa"/>
              <w:bottom w:w="80" w:type="dxa"/>
              <w:end w:w="120" w:type="dxa"/>
            </w:tcMar>
          </w:tcPr>
          <w:p>
            <w:pPr>
              <w:spacing w:after="0"/>
            </w:pPr>
            <w:r>
              <w:rPr>
                <w:sz w:val="18"/>
              </w:rPr>
              <w:t>ISL23415 SPI digital potentiometer; replaced X9C103S</w:t>
            </w:r>
          </w:p>
        </w:tc>
      </w:tr>
      <w:tr>
        <w:tc>
          <w:tcPr>
            <w:tcW w:type="dxa" w:w="2376"/>
            <w:vAlign w:val="center"/>
            <w:tcMar>
              <w:top w:w="80" w:type="dxa"/>
              <w:start w:w="120" w:type="dxa"/>
              <w:bottom w:w="80" w:type="dxa"/>
              <w:end w:w="120" w:type="dxa"/>
            </w:tcMar>
          </w:tcPr>
          <w:p>
            <w:pPr>
              <w:spacing w:after="0"/>
            </w:pPr>
            <w:r>
              <w:rPr>
                <w:sz w:val="18"/>
              </w:rPr>
              <w:t>Offset control</w:t>
            </w:r>
          </w:p>
        </w:tc>
        <w:tc>
          <w:tcPr>
            <w:tcW w:type="dxa" w:w="6984"/>
            <w:vAlign w:val="center"/>
            <w:tcMar>
              <w:top w:w="80" w:type="dxa"/>
              <w:start w:w="120" w:type="dxa"/>
              <w:bottom w:w="80" w:type="dxa"/>
              <w:end w:w="120" w:type="dxa"/>
            </w:tcMar>
          </w:tcPr>
          <w:p>
            <w:pPr>
              <w:spacing w:after="0"/>
            </w:pPr>
            <w:r>
              <w:rPr>
                <w:sz w:val="18"/>
              </w:rPr>
              <w:t>AD5626 12-bit DAC</w:t>
            </w:r>
          </w:p>
        </w:tc>
      </w:tr>
      <w:tr>
        <w:tc>
          <w:tcPr>
            <w:tcW w:type="dxa" w:w="2376"/>
            <w:vAlign w:val="center"/>
            <w:tcMar>
              <w:top w:w="80" w:type="dxa"/>
              <w:start w:w="120" w:type="dxa"/>
              <w:bottom w:w="80" w:type="dxa"/>
              <w:end w:w="120" w:type="dxa"/>
            </w:tcMar>
          </w:tcPr>
          <w:p>
            <w:pPr>
              <w:spacing w:after="0"/>
            </w:pPr>
            <w:r>
              <w:rPr>
                <w:sz w:val="18"/>
              </w:rPr>
              <w:t>Analog chain</w:t>
            </w:r>
          </w:p>
        </w:tc>
        <w:tc>
          <w:tcPr>
            <w:tcW w:type="dxa" w:w="6984"/>
            <w:vAlign w:val="center"/>
            <w:tcMar>
              <w:top w:w="80" w:type="dxa"/>
              <w:start w:w="120" w:type="dxa"/>
              <w:bottom w:w="80" w:type="dxa"/>
              <w:end w:w="120" w:type="dxa"/>
            </w:tcMar>
          </w:tcPr>
          <w:p>
            <w:pPr>
              <w:spacing w:after="0"/>
            </w:pPr>
            <w:r>
              <w:rPr>
                <w:sz w:val="18"/>
              </w:rPr>
              <w:t>TLV9154 quad op-amp; Amp D gain ≈ 19.56</w:t>
            </w:r>
          </w:p>
        </w:tc>
      </w:tr>
      <w:tr>
        <w:tc>
          <w:tcPr>
            <w:tcW w:type="dxa" w:w="2376"/>
            <w:vAlign w:val="center"/>
            <w:tcMar>
              <w:top w:w="80" w:type="dxa"/>
              <w:start w:w="120" w:type="dxa"/>
              <w:bottom w:w="80" w:type="dxa"/>
              <w:end w:w="120" w:type="dxa"/>
            </w:tcMar>
          </w:tcPr>
          <w:p>
            <w:pPr>
              <w:spacing w:after="0"/>
            </w:pPr>
            <w:r>
              <w:rPr>
                <w:sz w:val="18"/>
              </w:rPr>
              <w:t>Analog supply</w:t>
            </w:r>
          </w:p>
        </w:tc>
        <w:tc>
          <w:tcPr>
            <w:tcW w:type="dxa" w:w="6984"/>
            <w:vAlign w:val="center"/>
            <w:tcMar>
              <w:top w:w="80" w:type="dxa"/>
              <w:start w:w="120" w:type="dxa"/>
              <w:bottom w:w="80" w:type="dxa"/>
              <w:end w:w="120" w:type="dxa"/>
            </w:tcMar>
          </w:tcPr>
          <w:p>
            <w:pPr>
              <w:spacing w:after="0"/>
            </w:pPr>
            <w:r>
              <w:rPr>
                <w:sz w:val="18"/>
              </w:rPr>
              <w:t>TMA 0505D isolated converter producing approximately ±5 V</w:t>
            </w:r>
          </w:p>
        </w:tc>
      </w:tr>
      <w:tr>
        <w:tc>
          <w:tcPr>
            <w:tcW w:type="dxa" w:w="2376"/>
            <w:vAlign w:val="center"/>
            <w:tcMar>
              <w:top w:w="80" w:type="dxa"/>
              <w:start w:w="120" w:type="dxa"/>
              <w:bottom w:w="80" w:type="dxa"/>
              <w:end w:w="120" w:type="dxa"/>
            </w:tcMar>
          </w:tcPr>
          <w:p>
            <w:pPr>
              <w:spacing w:after="0"/>
            </w:pPr>
            <w:r>
              <w:rPr>
                <w:sz w:val="18"/>
              </w:rPr>
              <w:t>Converter input filter</w:t>
            </w:r>
          </w:p>
        </w:tc>
        <w:tc>
          <w:tcPr>
            <w:tcW w:type="dxa" w:w="6984"/>
            <w:vAlign w:val="center"/>
            <w:tcMar>
              <w:top w:w="80" w:type="dxa"/>
              <w:start w:w="120" w:type="dxa"/>
              <w:bottom w:w="80" w:type="dxa"/>
              <w:end w:w="120" w:type="dxa"/>
            </w:tcMar>
          </w:tcPr>
          <w:p>
            <w:pPr>
              <w:spacing w:after="0"/>
            </w:pPr>
            <w:r>
              <w:rPr>
                <w:sz w:val="18"/>
              </w:rPr>
              <w:t>Shared 5 V → 4.7 Ω → TMA VIN, with 47 µF || 100 nF to TMA input ground</w:t>
            </w:r>
          </w:p>
        </w:tc>
      </w:tr>
      <w:tr>
        <w:tc>
          <w:tcPr>
            <w:tcW w:type="dxa" w:w="2376"/>
            <w:vAlign w:val="center"/>
            <w:tcMar>
              <w:top w:w="80" w:type="dxa"/>
              <w:start w:w="120" w:type="dxa"/>
              <w:bottom w:w="80" w:type="dxa"/>
              <w:end w:w="120" w:type="dxa"/>
            </w:tcMar>
          </w:tcPr>
          <w:p>
            <w:pPr>
              <w:spacing w:after="0"/>
            </w:pPr>
            <w:r>
              <w:rPr>
                <w:sz w:val="18"/>
              </w:rPr>
              <w:t>Final output</w:t>
            </w:r>
          </w:p>
        </w:tc>
        <w:tc>
          <w:tcPr>
            <w:tcW w:type="dxa" w:w="6984"/>
            <w:vAlign w:val="center"/>
            <w:tcMar>
              <w:top w:w="80" w:type="dxa"/>
              <w:start w:w="120" w:type="dxa"/>
              <w:bottom w:w="80" w:type="dxa"/>
              <w:end w:w="120" w:type="dxa"/>
            </w:tcMar>
          </w:tcPr>
          <w:p>
            <w:pPr>
              <w:spacing w:after="0"/>
            </w:pPr>
            <w:r>
              <w:rPr>
                <w:sz w:val="18"/>
              </w:rPr>
              <w:t>TLV9154 pin 7, referenced to analog common</w:t>
            </w:r>
          </w:p>
        </w:tc>
      </w:tr>
      <w:tr>
        <w:tc>
          <w:tcPr>
            <w:tcW w:type="dxa" w:w="2376"/>
            <w:vAlign w:val="center"/>
            <w:tcMar>
              <w:top w:w="80" w:type="dxa"/>
              <w:start w:w="120" w:type="dxa"/>
              <w:bottom w:w="80" w:type="dxa"/>
              <w:end w:w="120" w:type="dxa"/>
            </w:tcMar>
          </w:tcPr>
          <w:p>
            <w:pPr>
              <w:spacing w:after="0"/>
            </w:pPr>
            <w:r>
              <w:rPr>
                <w:sz w:val="18"/>
              </w:rPr>
              <w:t>Quiet-test control</w:t>
            </w:r>
          </w:p>
        </w:tc>
        <w:tc>
          <w:tcPr>
            <w:tcW w:type="dxa" w:w="6984"/>
            <w:vAlign w:val="center"/>
            <w:tcMar>
              <w:top w:w="80" w:type="dxa"/>
              <w:start w:w="120" w:type="dxa"/>
              <w:bottom w:w="80" w:type="dxa"/>
              <w:end w:w="120" w:type="dxa"/>
            </w:tcMar>
          </w:tcPr>
          <w:p>
            <w:pPr>
              <w:spacing w:after="0"/>
            </w:pPr>
            <w:r>
              <w:rPr>
                <w:sz w:val="18"/>
              </w:rPr>
              <w:t>USB serial at 115200 baud with btStop() executed at end of setup()</w:t>
            </w:r>
          </w:p>
        </w:tc>
      </w:tr>
    </w:tbl>
    <w:p>
      <w:pPr>
        <w:spacing w:after="0"/>
      </w:pPr>
    </w:p>
    <w:p>
      <w:pPr>
        <w:pStyle w:val="Heading1"/>
      </w:pPr>
      <w:r>
        <w:t>2. Amplitude calibration and clean baseline</w:t>
      </w:r>
    </w:p>
    <w:p>
      <w:r>
        <w:t>The ISL23415 calibration reduced normal-range amplitude error to less than about 0.85%, with most residual errors below one hardware wiper step (roughly 40–45 mV at the output). Endpoint behavior must be interpreted separately: the 0 Vpp setting retains feedthrough/noise and is not a true mute, while the 10 Vpp setting enters compression.</w:t>
      </w:r>
    </w:p>
    <w:p>
      <w:pPr>
        <w:keepNext/>
        <w:jc w:val="center"/>
      </w:pPr>
      <w:r>
        <w:drawing>
          <wp:inline xmlns:a="http://schemas.openxmlformats.org/drawingml/2006/main" xmlns:pic="http://schemas.openxmlformats.org/drawingml/2006/picture">
            <wp:extent cx="5715000" cy="2480779"/>
            <wp:docPr id="1" name="Picture 1"/>
            <wp:cNvGraphicFramePr>
              <a:graphicFrameLocks noChangeAspect="1"/>
            </wp:cNvGraphicFramePr>
            <a:graphic>
              <a:graphicData uri="http://schemas.openxmlformats.org/drawingml/2006/picture">
                <pic:pic>
                  <pic:nvPicPr>
                    <pic:cNvPr id="0" name="032c5fcf-aa06-4a60-8550-0335e0cea881.png"/>
                    <pic:cNvPicPr/>
                  </pic:nvPicPr>
                  <pic:blipFill>
                    <a:blip r:embed="rId11"/>
                    <a:stretch>
                      <a:fillRect/>
                    </a:stretch>
                  </pic:blipFill>
                  <pic:spPr>
                    <a:xfrm>
                      <a:off x="0" y="0"/>
                      <a:ext cx="5715000" cy="2480779"/>
                    </a:xfrm>
                    <a:prstGeom prst="rect"/>
                  </pic:spPr>
                </pic:pic>
              </a:graphicData>
            </a:graphic>
          </wp:inline>
        </w:drawing>
      </w:r>
    </w:p>
    <w:p>
      <w:pPr>
        <w:spacing w:before="60" w:after="160"/>
        <w:jc w:val="center"/>
      </w:pPr>
      <w:r>
        <w:rPr>
          <w:i/>
          <w:color w:val="666666"/>
          <w:sz w:val="18"/>
        </w:rPr>
        <w:t>Figure 1. Quiet analog baseline with BLE stopped: 5.00 Vpp requested, 5.002 Vpp measured, +4.96 mV average offset.</w:t>
      </w:r>
    </w:p>
    <w:p>
      <w:pPr>
        <w:keepNext/>
        <w:jc w:val="center"/>
      </w:pPr>
      <w:r>
        <w:drawing>
          <wp:inline xmlns:a="http://schemas.openxmlformats.org/drawingml/2006/main" xmlns:pic="http://schemas.openxmlformats.org/drawingml/2006/picture">
            <wp:extent cx="5715000" cy="3482578"/>
            <wp:docPr id="2" name="Picture 2"/>
            <wp:cNvGraphicFramePr>
              <a:graphicFrameLocks noChangeAspect="1"/>
            </wp:cNvGraphicFramePr>
            <a:graphic>
              <a:graphicData uri="http://schemas.openxmlformats.org/drawingml/2006/picture">
                <pic:pic>
                  <pic:nvPicPr>
                    <pic:cNvPr id="0" name="240a362f-81f4-4d3d-8cd4-3cfdce1da871.png"/>
                    <pic:cNvPicPr/>
                  </pic:nvPicPr>
                  <pic:blipFill>
                    <a:blip r:embed="rId12"/>
                    <a:stretch>
                      <a:fillRect/>
                    </a:stretch>
                  </pic:blipFill>
                  <pic:spPr>
                    <a:xfrm>
                      <a:off x="0" y="0"/>
                      <a:ext cx="5715000" cy="3482578"/>
                    </a:xfrm>
                    <a:prstGeom prst="rect"/>
                  </pic:spPr>
                </pic:pic>
              </a:graphicData>
            </a:graphic>
          </wp:inline>
        </w:drawing>
      </w:r>
    </w:p>
    <w:p>
      <w:pPr>
        <w:spacing w:before="60" w:after="160"/>
        <w:jc w:val="center"/>
      </w:pPr>
      <w:r>
        <w:rPr>
          <w:i/>
          <w:color w:val="666666"/>
          <w:sz w:val="18"/>
        </w:rPr>
        <w:t>Figure 2. Near the upper zero-offset limit: approximately 9.93 Vpp measured under scope-only loading.</w:t>
      </w:r>
    </w:p>
    <w:p>
      <w:pPr>
        <w:pStyle w:val="Heading1"/>
      </w:pPr>
      <w:r>
        <w:t>3. Power-noise diagnosis and correction</w:t>
      </w:r>
    </w:p>
    <w:p>
      <w:r>
        <w:t>Two distinct power disturbances were identified. First, the TMA 0505D injected switching-current noise backward onto the shared 5 V rail. Disconnecting only its ± outputs did not stop the converter; disconnecting TMA VCC reduced the shared-rail noise by roughly an order of magnitude. Second, active ESP32 Bluetooth produced much larger periodic supply dips at about a 60 ms interval. These sources were separated experimentally.</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2088"/>
            <w:shd w:fill="E8EEF5"/>
            <w:vAlign w:val="center"/>
            <w:tcMar>
              <w:top w:w="80" w:type="dxa"/>
              <w:start w:w="120" w:type="dxa"/>
              <w:bottom w:w="80" w:type="dxa"/>
              <w:end w:w="120" w:type="dxa"/>
            </w:tcMar>
          </w:tcPr>
          <w:p>
            <w:r>
              <w:rPr>
                <w:b/>
                <w:sz w:val="18"/>
              </w:rPr>
              <w:t>Condition</w:t>
            </w:r>
          </w:p>
        </w:tc>
        <w:tc>
          <w:tcPr>
            <w:tcW w:type="dxa" w:w="1584"/>
            <w:shd w:fill="E8EEF5"/>
            <w:vAlign w:val="center"/>
            <w:tcMar>
              <w:top w:w="80" w:type="dxa"/>
              <w:start w:w="120" w:type="dxa"/>
              <w:bottom w:w="80" w:type="dxa"/>
              <w:end w:w="120" w:type="dxa"/>
            </w:tcMar>
          </w:tcPr>
          <w:p>
            <w:r>
              <w:rPr>
                <w:b/>
                <w:sz w:val="18"/>
              </w:rPr>
              <w:t>Shared 5 V</w:t>
            </w:r>
          </w:p>
        </w:tc>
        <w:tc>
          <w:tcPr>
            <w:tcW w:type="dxa" w:w="1584"/>
            <w:shd w:fill="E8EEF5"/>
            <w:vAlign w:val="center"/>
            <w:tcMar>
              <w:top w:w="80" w:type="dxa"/>
              <w:start w:w="120" w:type="dxa"/>
              <w:bottom w:w="80" w:type="dxa"/>
              <w:end w:w="120" w:type="dxa"/>
            </w:tcMar>
          </w:tcPr>
          <w:p>
            <w:r>
              <w:rPr>
                <w:b/>
                <w:sz w:val="18"/>
              </w:rPr>
              <w:t>TMA V+</w:t>
            </w:r>
          </w:p>
        </w:tc>
        <w:tc>
          <w:tcPr>
            <w:tcW w:type="dxa" w:w="4104"/>
            <w:shd w:fill="E8EEF5"/>
            <w:vAlign w:val="center"/>
            <w:tcMar>
              <w:top w:w="80" w:type="dxa"/>
              <w:start w:w="120" w:type="dxa"/>
              <w:bottom w:w="80" w:type="dxa"/>
              <w:end w:w="120" w:type="dxa"/>
            </w:tcMar>
          </w:tcPr>
          <w:p>
            <w:r>
              <w:rPr>
                <w:b/>
                <w:sz w:val="18"/>
              </w:rPr>
              <w:t>Interpretation</w:t>
            </w:r>
          </w:p>
        </w:tc>
      </w:tr>
      <w:tr>
        <w:tc>
          <w:tcPr>
            <w:tcW w:type="dxa" w:w="2088"/>
            <w:vAlign w:val="center"/>
            <w:tcMar>
              <w:top w:w="80" w:type="dxa"/>
              <w:start w:w="120" w:type="dxa"/>
              <w:bottom w:w="80" w:type="dxa"/>
              <w:end w:w="120" w:type="dxa"/>
            </w:tcMar>
          </w:tcPr>
          <w:p>
            <w:pPr>
              <w:spacing w:after="0"/>
            </w:pPr>
            <w:r>
              <w:rPr>
                <w:sz w:val="18"/>
              </w:rPr>
              <w:t>TMA powered, before input filter</w:t>
            </w:r>
          </w:p>
        </w:tc>
        <w:tc>
          <w:tcPr>
            <w:tcW w:type="dxa" w:w="1584"/>
            <w:vAlign w:val="center"/>
            <w:tcMar>
              <w:top w:w="80" w:type="dxa"/>
              <w:start w:w="120" w:type="dxa"/>
              <w:bottom w:w="80" w:type="dxa"/>
              <w:end w:w="120" w:type="dxa"/>
            </w:tcMar>
          </w:tcPr>
          <w:p>
            <w:pPr>
              <w:spacing w:after="0"/>
            </w:pPr>
            <w:r>
              <w:rPr>
                <w:sz w:val="18"/>
              </w:rPr>
              <w:t>≈51.9–62.1 mVpp</w:t>
            </w:r>
          </w:p>
        </w:tc>
        <w:tc>
          <w:tcPr>
            <w:tcW w:type="dxa" w:w="1584"/>
            <w:vAlign w:val="center"/>
            <w:tcMar>
              <w:top w:w="80" w:type="dxa"/>
              <w:start w:w="120" w:type="dxa"/>
              <w:bottom w:w="80" w:type="dxa"/>
              <w:end w:w="120" w:type="dxa"/>
            </w:tcMar>
          </w:tcPr>
          <w:p>
            <w:pPr>
              <w:spacing w:after="0"/>
            </w:pPr>
            <w:r>
              <w:rPr>
                <w:sz w:val="18"/>
              </w:rPr>
              <w:t>≈9.3 mVpp in one averaged capture</w:t>
            </w:r>
          </w:p>
        </w:tc>
        <w:tc>
          <w:tcPr>
            <w:tcW w:type="dxa" w:w="4104"/>
            <w:vAlign w:val="center"/>
            <w:tcMar>
              <w:top w:w="80" w:type="dxa"/>
              <w:start w:w="120" w:type="dxa"/>
              <w:bottom w:w="80" w:type="dxa"/>
              <w:end w:w="120" w:type="dxa"/>
            </w:tcMar>
          </w:tcPr>
          <w:p>
            <w:pPr>
              <w:spacing w:after="0"/>
            </w:pPr>
            <w:r>
              <w:rPr>
                <w:sz w:val="18"/>
              </w:rPr>
              <w:t>Converter pulsed input current dominates shared-rail noise</w:t>
            </w:r>
          </w:p>
        </w:tc>
      </w:tr>
      <w:tr>
        <w:tc>
          <w:tcPr>
            <w:tcW w:type="dxa" w:w="2088"/>
            <w:vAlign w:val="center"/>
            <w:tcMar>
              <w:top w:w="80" w:type="dxa"/>
              <w:start w:w="120" w:type="dxa"/>
              <w:bottom w:w="80" w:type="dxa"/>
              <w:end w:w="120" w:type="dxa"/>
            </w:tcMar>
          </w:tcPr>
          <w:p>
            <w:pPr>
              <w:spacing w:after="0"/>
            </w:pPr>
            <w:r>
              <w:rPr>
                <w:sz w:val="18"/>
              </w:rPr>
              <w:t>TMA VCC disconnected</w:t>
            </w:r>
          </w:p>
        </w:tc>
        <w:tc>
          <w:tcPr>
            <w:tcW w:type="dxa" w:w="1584"/>
            <w:vAlign w:val="center"/>
            <w:tcMar>
              <w:top w:w="80" w:type="dxa"/>
              <w:start w:w="120" w:type="dxa"/>
              <w:bottom w:w="80" w:type="dxa"/>
              <w:end w:w="120" w:type="dxa"/>
            </w:tcMar>
          </w:tcPr>
          <w:p>
            <w:pPr>
              <w:spacing w:after="0"/>
            </w:pPr>
            <w:r>
              <w:rPr>
                <w:sz w:val="18"/>
              </w:rPr>
              <w:t>≈6 mVpp</w:t>
            </w:r>
          </w:p>
        </w:tc>
        <w:tc>
          <w:tcPr>
            <w:tcW w:type="dxa" w:w="1584"/>
            <w:vAlign w:val="center"/>
            <w:tcMar>
              <w:top w:w="80" w:type="dxa"/>
              <w:start w:w="120" w:type="dxa"/>
              <w:bottom w:w="80" w:type="dxa"/>
              <w:end w:w="120" w:type="dxa"/>
            </w:tcMar>
          </w:tcPr>
          <w:p>
            <w:pPr>
              <w:spacing w:after="0"/>
            </w:pPr>
            <w:r>
              <w:rPr>
                <w:sz w:val="18"/>
              </w:rPr>
              <w:t>Not powered</w:t>
            </w:r>
          </w:p>
        </w:tc>
        <w:tc>
          <w:tcPr>
            <w:tcW w:type="dxa" w:w="4104"/>
            <w:vAlign w:val="center"/>
            <w:tcMar>
              <w:top w:w="80" w:type="dxa"/>
              <w:start w:w="120" w:type="dxa"/>
              <w:bottom w:w="80" w:type="dxa"/>
              <w:end w:w="120" w:type="dxa"/>
            </w:tcMar>
          </w:tcPr>
          <w:p>
            <w:pPr>
              <w:spacing w:after="0"/>
            </w:pPr>
            <w:r>
              <w:rPr>
                <w:sz w:val="18"/>
              </w:rPr>
              <w:t>Confirms TMA as dominant broadband source</w:t>
            </w:r>
          </w:p>
        </w:tc>
      </w:tr>
      <w:tr>
        <w:tc>
          <w:tcPr>
            <w:tcW w:type="dxa" w:w="2088"/>
            <w:vAlign w:val="center"/>
            <w:tcMar>
              <w:top w:w="80" w:type="dxa"/>
              <w:start w:w="120" w:type="dxa"/>
              <w:bottom w:w="80" w:type="dxa"/>
              <w:end w:w="120" w:type="dxa"/>
            </w:tcMar>
          </w:tcPr>
          <w:p>
            <w:pPr>
              <w:spacing w:after="0"/>
            </w:pPr>
            <w:r>
              <w:rPr>
                <w:sz w:val="18"/>
              </w:rPr>
              <w:t>After 4.7 Ω + 47 µF || 100 nF</w:t>
            </w:r>
          </w:p>
        </w:tc>
        <w:tc>
          <w:tcPr>
            <w:tcW w:type="dxa" w:w="1584"/>
            <w:vAlign w:val="center"/>
            <w:tcMar>
              <w:top w:w="80" w:type="dxa"/>
              <w:start w:w="120" w:type="dxa"/>
              <w:bottom w:w="80" w:type="dxa"/>
              <w:end w:w="120" w:type="dxa"/>
            </w:tcMar>
          </w:tcPr>
          <w:p>
            <w:pPr>
              <w:spacing w:after="0"/>
            </w:pPr>
            <w:r>
              <w:rPr>
                <w:sz w:val="18"/>
              </w:rPr>
              <w:t>7.87 mVpp</w:t>
            </w:r>
          </w:p>
        </w:tc>
        <w:tc>
          <w:tcPr>
            <w:tcW w:type="dxa" w:w="1584"/>
            <w:vAlign w:val="center"/>
            <w:tcMar>
              <w:top w:w="80" w:type="dxa"/>
              <w:start w:w="120" w:type="dxa"/>
              <w:bottom w:w="80" w:type="dxa"/>
              <w:end w:w="120" w:type="dxa"/>
            </w:tcMar>
          </w:tcPr>
          <w:p>
            <w:pPr>
              <w:spacing w:after="0"/>
            </w:pPr>
            <w:r>
              <w:rPr>
                <w:sz w:val="18"/>
              </w:rPr>
              <w:t>9.53 mVpp</w:t>
            </w:r>
          </w:p>
        </w:tc>
        <w:tc>
          <w:tcPr>
            <w:tcW w:type="dxa" w:w="4104"/>
            <w:vAlign w:val="center"/>
            <w:tcMar>
              <w:top w:w="80" w:type="dxa"/>
              <w:start w:w="120" w:type="dxa"/>
              <w:bottom w:w="80" w:type="dxa"/>
              <w:end w:w="120" w:type="dxa"/>
            </w:tcMar>
          </w:tcPr>
          <w:p>
            <w:pPr>
              <w:spacing w:after="0"/>
            </w:pPr>
            <w:r>
              <w:rPr>
                <w:sz w:val="18"/>
              </w:rPr>
              <w:t>≈85% reduction; close to converter-off baseline</w:t>
            </w:r>
          </w:p>
        </w:tc>
      </w:tr>
      <w:tr>
        <w:tc>
          <w:tcPr>
            <w:tcW w:type="dxa" w:w="2088"/>
            <w:vAlign w:val="center"/>
            <w:tcMar>
              <w:top w:w="80" w:type="dxa"/>
              <w:start w:w="120" w:type="dxa"/>
              <w:bottom w:w="80" w:type="dxa"/>
              <w:end w:w="120" w:type="dxa"/>
            </w:tcMar>
          </w:tcPr>
          <w:p>
            <w:pPr>
              <w:spacing w:after="0"/>
            </w:pPr>
            <w:r>
              <w:rPr>
                <w:sz w:val="18"/>
              </w:rPr>
              <w:t>BLE connected</w:t>
            </w:r>
          </w:p>
        </w:tc>
        <w:tc>
          <w:tcPr>
            <w:tcW w:type="dxa" w:w="1584"/>
            <w:vAlign w:val="center"/>
            <w:tcMar>
              <w:top w:w="80" w:type="dxa"/>
              <w:start w:w="120" w:type="dxa"/>
              <w:bottom w:w="80" w:type="dxa"/>
              <w:end w:w="120" w:type="dxa"/>
            </w:tcMar>
          </w:tcPr>
          <w:p>
            <w:pPr>
              <w:spacing w:after="0"/>
            </w:pPr>
            <w:r>
              <w:rPr>
                <w:sz w:val="18"/>
              </w:rPr>
              <w:t>≈114–115 mVpp</w:t>
            </w:r>
          </w:p>
        </w:tc>
        <w:tc>
          <w:tcPr>
            <w:tcW w:type="dxa" w:w="1584"/>
            <w:vAlign w:val="center"/>
            <w:tcMar>
              <w:top w:w="80" w:type="dxa"/>
              <w:start w:w="120" w:type="dxa"/>
              <w:bottom w:w="80" w:type="dxa"/>
              <w:end w:w="120" w:type="dxa"/>
            </w:tcMar>
          </w:tcPr>
          <w:p>
            <w:pPr>
              <w:spacing w:after="0"/>
            </w:pPr>
            <w:r>
              <w:rPr>
                <w:sz w:val="18"/>
              </w:rPr>
              <w:t>≈116–119 mVpp</w:t>
            </w:r>
          </w:p>
        </w:tc>
        <w:tc>
          <w:tcPr>
            <w:tcW w:type="dxa" w:w="4104"/>
            <w:vAlign w:val="center"/>
            <w:tcMar>
              <w:top w:w="80" w:type="dxa"/>
              <w:start w:w="120" w:type="dxa"/>
              <w:bottom w:w="80" w:type="dxa"/>
              <w:end w:w="120" w:type="dxa"/>
            </w:tcMar>
          </w:tcPr>
          <w:p>
            <w:pPr>
              <w:spacing w:after="0"/>
            </w:pPr>
            <w:r>
              <w:rPr>
                <w:sz w:val="18"/>
              </w:rPr>
              <w:t>Regular ≈60 ms radio-current transient</w:t>
            </w:r>
          </w:p>
        </w:tc>
      </w:tr>
      <w:tr>
        <w:tc>
          <w:tcPr>
            <w:tcW w:type="dxa" w:w="2088"/>
            <w:vAlign w:val="center"/>
            <w:tcMar>
              <w:top w:w="80" w:type="dxa"/>
              <w:start w:w="120" w:type="dxa"/>
              <w:bottom w:w="80" w:type="dxa"/>
              <w:end w:w="120" w:type="dxa"/>
            </w:tcMar>
          </w:tcPr>
          <w:p>
            <w:pPr>
              <w:spacing w:after="0"/>
            </w:pPr>
            <w:r>
              <w:rPr>
                <w:sz w:val="18"/>
              </w:rPr>
              <w:t>Phone disconnected / advertising</w:t>
            </w:r>
          </w:p>
        </w:tc>
        <w:tc>
          <w:tcPr>
            <w:tcW w:type="dxa" w:w="1584"/>
            <w:vAlign w:val="center"/>
            <w:tcMar>
              <w:top w:w="80" w:type="dxa"/>
              <w:start w:w="120" w:type="dxa"/>
              <w:bottom w:w="80" w:type="dxa"/>
              <w:end w:w="120" w:type="dxa"/>
            </w:tcMar>
          </w:tcPr>
          <w:p>
            <w:pPr>
              <w:spacing w:after="0"/>
            </w:pPr>
            <w:r>
              <w:rPr>
                <w:sz w:val="18"/>
              </w:rPr>
              <w:t>166.5 mVpp</w:t>
            </w:r>
          </w:p>
        </w:tc>
        <w:tc>
          <w:tcPr>
            <w:tcW w:type="dxa" w:w="1584"/>
            <w:vAlign w:val="center"/>
            <w:tcMar>
              <w:top w:w="80" w:type="dxa"/>
              <w:start w:w="120" w:type="dxa"/>
              <w:bottom w:w="80" w:type="dxa"/>
              <w:end w:w="120" w:type="dxa"/>
            </w:tcMar>
          </w:tcPr>
          <w:p>
            <w:pPr>
              <w:spacing w:after="0"/>
            </w:pPr>
            <w:r>
              <w:rPr>
                <w:sz w:val="18"/>
              </w:rPr>
              <w:t>176.9 mVpp</w:t>
            </w:r>
          </w:p>
        </w:tc>
        <w:tc>
          <w:tcPr>
            <w:tcW w:type="dxa" w:w="4104"/>
            <w:vAlign w:val="center"/>
            <w:tcMar>
              <w:top w:w="80" w:type="dxa"/>
              <w:start w:w="120" w:type="dxa"/>
              <w:bottom w:w="80" w:type="dxa"/>
              <w:end w:w="120" w:type="dxa"/>
            </w:tcMar>
          </w:tcPr>
          <w:p>
            <w:pPr>
              <w:spacing w:after="0"/>
            </w:pPr>
            <w:r>
              <w:rPr>
                <w:sz w:val="18"/>
              </w:rPr>
              <w:t>Radio remains active; transient changes and grows</w:t>
            </w:r>
          </w:p>
        </w:tc>
      </w:tr>
      <w:tr>
        <w:tc>
          <w:tcPr>
            <w:tcW w:type="dxa" w:w="2088"/>
            <w:vAlign w:val="center"/>
            <w:tcMar>
              <w:top w:w="80" w:type="dxa"/>
              <w:start w:w="120" w:type="dxa"/>
              <w:bottom w:w="80" w:type="dxa"/>
              <w:end w:w="120" w:type="dxa"/>
            </w:tcMar>
          </w:tcPr>
          <w:p>
            <w:pPr>
              <w:spacing w:after="0"/>
            </w:pPr>
            <w:r>
              <w:rPr>
                <w:sz w:val="18"/>
              </w:rPr>
              <w:t>btStop()</w:t>
            </w:r>
          </w:p>
        </w:tc>
        <w:tc>
          <w:tcPr>
            <w:tcW w:type="dxa" w:w="1584"/>
            <w:vAlign w:val="center"/>
            <w:tcMar>
              <w:top w:w="80" w:type="dxa"/>
              <w:start w:w="120" w:type="dxa"/>
              <w:bottom w:w="80" w:type="dxa"/>
              <w:end w:w="120" w:type="dxa"/>
            </w:tcMar>
          </w:tcPr>
          <w:p>
            <w:pPr>
              <w:spacing w:after="0"/>
            </w:pPr>
            <w:r>
              <w:rPr>
                <w:sz w:val="18"/>
              </w:rPr>
              <w:t>11.56 mVpp</w:t>
            </w:r>
          </w:p>
        </w:tc>
        <w:tc>
          <w:tcPr>
            <w:tcW w:type="dxa" w:w="1584"/>
            <w:vAlign w:val="center"/>
            <w:tcMar>
              <w:top w:w="80" w:type="dxa"/>
              <w:start w:w="120" w:type="dxa"/>
              <w:bottom w:w="80" w:type="dxa"/>
              <w:end w:w="120" w:type="dxa"/>
            </w:tcMar>
          </w:tcPr>
          <w:p>
            <w:pPr>
              <w:spacing w:after="0"/>
            </w:pPr>
            <w:r>
              <w:rPr>
                <w:sz w:val="18"/>
              </w:rPr>
              <w:t>11.66 mVpp</w:t>
            </w:r>
          </w:p>
        </w:tc>
        <w:tc>
          <w:tcPr>
            <w:tcW w:type="dxa" w:w="4104"/>
            <w:vAlign w:val="center"/>
            <w:tcMar>
              <w:top w:w="80" w:type="dxa"/>
              <w:start w:w="120" w:type="dxa"/>
              <w:bottom w:w="80" w:type="dxa"/>
              <w:end w:w="120" w:type="dxa"/>
            </w:tcMar>
          </w:tcPr>
          <w:p>
            <w:pPr>
              <w:spacing w:after="0"/>
            </w:pPr>
            <w:r>
              <w:rPr>
                <w:sz w:val="18"/>
              </w:rPr>
              <w:t>Large periodic BLE dips disappear</w:t>
            </w:r>
          </w:p>
        </w:tc>
      </w:tr>
    </w:tbl>
    <w:p>
      <w:pPr>
        <w:spacing w:after="0"/>
      </w:pPr>
    </w:p>
    <w:p>
      <w:pPr>
        <w:keepNext/>
        <w:jc w:val="center"/>
      </w:pPr>
      <w:r>
        <w:drawing>
          <wp:inline xmlns:a="http://schemas.openxmlformats.org/drawingml/2006/main" xmlns:pic="http://schemas.openxmlformats.org/drawingml/2006/picture">
            <wp:extent cx="5715000" cy="3490950"/>
            <wp:docPr id="3" name="Picture 3"/>
            <wp:cNvGraphicFramePr>
              <a:graphicFrameLocks noChangeAspect="1"/>
            </wp:cNvGraphicFramePr>
            <a:graphic>
              <a:graphicData uri="http://schemas.openxmlformats.org/drawingml/2006/picture">
                <pic:pic>
                  <pic:nvPicPr>
                    <pic:cNvPr id="0" name="4691692f-3882-49eb-805a-98c03522cca2.png"/>
                    <pic:cNvPicPr/>
                  </pic:nvPicPr>
                  <pic:blipFill>
                    <a:blip r:embed="rId13"/>
                    <a:stretch>
                      <a:fillRect/>
                    </a:stretch>
                  </pic:blipFill>
                  <pic:spPr>
                    <a:xfrm>
                      <a:off x="0" y="0"/>
                      <a:ext cx="5715000" cy="3490950"/>
                    </a:xfrm>
                    <a:prstGeom prst="rect"/>
                  </pic:spPr>
                </pic:pic>
              </a:graphicData>
            </a:graphic>
          </wp:inline>
        </w:drawing>
      </w:r>
    </w:p>
    <w:p>
      <w:pPr>
        <w:spacing w:before="60" w:after="160"/>
        <w:jc w:val="center"/>
      </w:pPr>
      <w:r>
        <w:rPr>
          <w:i/>
          <w:color w:val="666666"/>
          <w:sz w:val="18"/>
        </w:rPr>
        <w:t>Figure 3. Before the converter input filter: shared ESP32/USB 5 V rail measured 51.9 mVpp while TMA V+ measured 9.30 mVpp.</w:t>
      </w:r>
    </w:p>
    <w:p>
      <w:pPr>
        <w:keepNext/>
        <w:jc w:val="center"/>
      </w:pPr>
      <w:r>
        <w:drawing>
          <wp:inline xmlns:a="http://schemas.openxmlformats.org/drawingml/2006/main" xmlns:pic="http://schemas.openxmlformats.org/drawingml/2006/picture">
            <wp:extent cx="5715000" cy="3482578"/>
            <wp:docPr id="4" name="Picture 4"/>
            <wp:cNvGraphicFramePr>
              <a:graphicFrameLocks noChangeAspect="1"/>
            </wp:cNvGraphicFramePr>
            <a:graphic>
              <a:graphicData uri="http://schemas.openxmlformats.org/drawingml/2006/picture">
                <pic:pic>
                  <pic:nvPicPr>
                    <pic:cNvPr id="0" name="bebc010f-b7d8-4219-a19e-1b90e7a5ce8c.png"/>
                    <pic:cNvPicPr/>
                  </pic:nvPicPr>
                  <pic:blipFill>
                    <a:blip r:embed="rId14"/>
                    <a:stretch>
                      <a:fillRect/>
                    </a:stretch>
                  </pic:blipFill>
                  <pic:spPr>
                    <a:xfrm>
                      <a:off x="0" y="0"/>
                      <a:ext cx="5715000" cy="3482578"/>
                    </a:xfrm>
                    <a:prstGeom prst="rect"/>
                  </pic:spPr>
                </pic:pic>
              </a:graphicData>
            </a:graphic>
          </wp:inline>
        </w:drawing>
      </w:r>
    </w:p>
    <w:p>
      <w:pPr>
        <w:spacing w:before="60" w:after="160"/>
        <w:jc w:val="center"/>
      </w:pPr>
      <w:r>
        <w:rPr>
          <w:i/>
          <w:color w:val="666666"/>
          <w:sz w:val="18"/>
        </w:rPr>
        <w:t>Figure 4. After the 4.7 Ω + 47 µF || 100 nF input filter: shared rail 7.87 mVpp and TMA V+ 9.53 mVpp.</w:t>
      </w:r>
    </w:p>
    <w:p>
      <w:pPr>
        <w:keepNext/>
        <w:jc w:val="center"/>
      </w:pPr>
      <w:r>
        <w:drawing>
          <wp:inline xmlns:a="http://schemas.openxmlformats.org/drawingml/2006/main" xmlns:pic="http://schemas.openxmlformats.org/drawingml/2006/picture">
            <wp:extent cx="5715000" cy="3487071"/>
            <wp:docPr id="5" name="Picture 5"/>
            <wp:cNvGraphicFramePr>
              <a:graphicFrameLocks noChangeAspect="1"/>
            </wp:cNvGraphicFramePr>
            <a:graphic>
              <a:graphicData uri="http://schemas.openxmlformats.org/drawingml/2006/picture">
                <pic:pic>
                  <pic:nvPicPr>
                    <pic:cNvPr id="0" name="b5635e90-71ae-4cf9-a4e5-f56bcdf3085d.png"/>
                    <pic:cNvPicPr/>
                  </pic:nvPicPr>
                  <pic:blipFill>
                    <a:blip r:embed="rId15"/>
                    <a:stretch>
                      <a:fillRect/>
                    </a:stretch>
                  </pic:blipFill>
                  <pic:spPr>
                    <a:xfrm>
                      <a:off x="0" y="0"/>
                      <a:ext cx="5715000" cy="3487071"/>
                    </a:xfrm>
                    <a:prstGeom prst="rect"/>
                  </pic:spPr>
                </pic:pic>
              </a:graphicData>
            </a:graphic>
          </wp:inline>
        </w:drawing>
      </w:r>
    </w:p>
    <w:p>
      <w:pPr>
        <w:spacing w:before="60" w:after="160"/>
        <w:jc w:val="center"/>
      </w:pPr>
      <w:r>
        <w:rPr>
          <w:i/>
          <w:color w:val="666666"/>
          <w:sz w:val="18"/>
        </w:rPr>
        <w:t>Figure 5. BLE connected: aligned ≈60 ms downward transients on the shared 5 V and TMA V+ rails.</w:t>
      </w:r>
    </w:p>
    <w:p>
      <w:pPr>
        <w:keepNext/>
        <w:jc w:val="center"/>
      </w:pPr>
      <w:r>
        <w:drawing>
          <wp:inline xmlns:a="http://schemas.openxmlformats.org/drawingml/2006/main" xmlns:pic="http://schemas.openxmlformats.org/drawingml/2006/picture">
            <wp:extent cx="5715000" cy="3484279"/>
            <wp:docPr id="6" name="Picture 6"/>
            <wp:cNvGraphicFramePr>
              <a:graphicFrameLocks noChangeAspect="1"/>
            </wp:cNvGraphicFramePr>
            <a:graphic>
              <a:graphicData uri="http://schemas.openxmlformats.org/drawingml/2006/picture">
                <pic:pic>
                  <pic:nvPicPr>
                    <pic:cNvPr id="0" name="91c3a503-37d0-4375-9959-6cf3ceb3264a.png"/>
                    <pic:cNvPicPr/>
                  </pic:nvPicPr>
                  <pic:blipFill>
                    <a:blip r:embed="rId16"/>
                    <a:stretch>
                      <a:fillRect/>
                    </a:stretch>
                  </pic:blipFill>
                  <pic:spPr>
                    <a:xfrm>
                      <a:off x="0" y="0"/>
                      <a:ext cx="5715000" cy="3484279"/>
                    </a:xfrm>
                    <a:prstGeom prst="rect"/>
                  </pic:spPr>
                </pic:pic>
              </a:graphicData>
            </a:graphic>
          </wp:inline>
        </w:drawing>
      </w:r>
    </w:p>
    <w:p>
      <w:pPr>
        <w:spacing w:before="60" w:after="160"/>
        <w:jc w:val="center"/>
      </w:pPr>
      <w:r>
        <w:rPr>
          <w:i/>
          <w:color w:val="666666"/>
          <w:sz w:val="18"/>
        </w:rPr>
        <w:t>Figure 6. btStop(): the large BLE transients vanish, leaving approximately 11.6 mVpp background disturbance.</w:t>
      </w:r>
    </w:p>
    <w:p>
      <w:r>
        <w:t>The measured drop across the 4.7 Ω resistor was 170.9 mV, corresponding to 36.4 mA converter input current and only about 6.2 mW resistor dissipation. The filter is therefore suitable for retention in the next revision, subject to rechecking TMA input voltage under worst-case cartridge load.</w:t>
      </w:r>
    </w:p>
    <w:p>
      <w:pPr>
        <w:pStyle w:val="Heading1"/>
      </w:pPr>
      <w:r>
        <w:t>4. Amplitude and offset envelope</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800"/>
            <w:shd w:fill="E8EEF5"/>
            <w:vAlign w:val="center"/>
            <w:tcMar>
              <w:top w:w="80" w:type="dxa"/>
              <w:start w:w="120" w:type="dxa"/>
              <w:bottom w:w="80" w:type="dxa"/>
              <w:end w:w="120" w:type="dxa"/>
            </w:tcMar>
          </w:tcPr>
          <w:p>
            <w:r>
              <w:rPr>
                <w:b/>
                <w:sz w:val="18"/>
              </w:rPr>
              <w:t>Requested</w:t>
            </w:r>
          </w:p>
        </w:tc>
        <w:tc>
          <w:tcPr>
            <w:tcW w:type="dxa" w:w="1584"/>
            <w:shd w:fill="E8EEF5"/>
            <w:vAlign w:val="center"/>
            <w:tcMar>
              <w:top w:w="80" w:type="dxa"/>
              <w:start w:w="120" w:type="dxa"/>
              <w:bottom w:w="80" w:type="dxa"/>
              <w:end w:w="120" w:type="dxa"/>
            </w:tcMar>
          </w:tcPr>
          <w:p>
            <w:r>
              <w:rPr>
                <w:b/>
                <w:sz w:val="18"/>
              </w:rPr>
              <w:t>Measured Vpp</w:t>
            </w:r>
          </w:p>
        </w:tc>
        <w:tc>
          <w:tcPr>
            <w:tcW w:type="dxa" w:w="1440"/>
            <w:shd w:fill="E8EEF5"/>
            <w:vAlign w:val="center"/>
            <w:tcMar>
              <w:top w:w="80" w:type="dxa"/>
              <w:start w:w="120" w:type="dxa"/>
              <w:bottom w:w="80" w:type="dxa"/>
              <w:end w:w="120" w:type="dxa"/>
            </w:tcMar>
          </w:tcPr>
          <w:p>
            <w:r>
              <w:rPr>
                <w:b/>
                <w:sz w:val="18"/>
              </w:rPr>
              <w:t>Average</w:t>
            </w:r>
          </w:p>
        </w:tc>
        <w:tc>
          <w:tcPr>
            <w:tcW w:type="dxa" w:w="2376"/>
            <w:shd w:fill="E8EEF5"/>
            <w:vAlign w:val="center"/>
            <w:tcMar>
              <w:top w:w="80" w:type="dxa"/>
              <w:start w:w="120" w:type="dxa"/>
              <w:bottom w:w="80" w:type="dxa"/>
              <w:end w:w="120" w:type="dxa"/>
            </w:tcMar>
          </w:tcPr>
          <w:p>
            <w:r>
              <w:rPr>
                <w:b/>
                <w:sz w:val="18"/>
              </w:rPr>
              <w:t>Min / max</w:t>
            </w:r>
          </w:p>
        </w:tc>
        <w:tc>
          <w:tcPr>
            <w:tcW w:type="dxa" w:w="2160"/>
            <w:shd w:fill="E8EEF5"/>
            <w:vAlign w:val="center"/>
            <w:tcMar>
              <w:top w:w="80" w:type="dxa"/>
              <w:start w:w="120" w:type="dxa"/>
              <w:bottom w:w="80" w:type="dxa"/>
              <w:end w:w="120" w:type="dxa"/>
            </w:tcMar>
          </w:tcPr>
          <w:p>
            <w:r>
              <w:rPr>
                <w:b/>
                <w:sz w:val="18"/>
              </w:rPr>
              <w:t>Result</w:t>
            </w:r>
          </w:p>
        </w:tc>
      </w:tr>
      <w:tr>
        <w:tc>
          <w:tcPr>
            <w:tcW w:type="dxa" w:w="1800"/>
            <w:vAlign w:val="center"/>
            <w:tcMar>
              <w:top w:w="80" w:type="dxa"/>
              <w:start w:w="120" w:type="dxa"/>
              <w:bottom w:w="80" w:type="dxa"/>
              <w:end w:w="120" w:type="dxa"/>
            </w:tcMar>
          </w:tcPr>
          <w:p>
            <w:pPr>
              <w:spacing w:after="0"/>
            </w:pPr>
            <w:r>
              <w:rPr>
                <w:sz w:val="18"/>
              </w:rPr>
              <w:t>2 Vpp, +2 V</w:t>
            </w:r>
          </w:p>
        </w:tc>
        <w:tc>
          <w:tcPr>
            <w:tcW w:type="dxa" w:w="1584"/>
            <w:vAlign w:val="center"/>
            <w:tcMar>
              <w:top w:w="80" w:type="dxa"/>
              <w:start w:w="120" w:type="dxa"/>
              <w:bottom w:w="80" w:type="dxa"/>
              <w:end w:w="120" w:type="dxa"/>
            </w:tcMar>
          </w:tcPr>
          <w:p>
            <w:pPr>
              <w:spacing w:after="0"/>
            </w:pPr>
            <w:r>
              <w:rPr>
                <w:sz w:val="18"/>
              </w:rPr>
              <w:t>1.9738 V</w:t>
            </w:r>
          </w:p>
        </w:tc>
        <w:tc>
          <w:tcPr>
            <w:tcW w:type="dxa" w:w="1440"/>
            <w:vAlign w:val="center"/>
            <w:tcMar>
              <w:top w:w="80" w:type="dxa"/>
              <w:start w:w="120" w:type="dxa"/>
              <w:bottom w:w="80" w:type="dxa"/>
              <w:end w:w="120" w:type="dxa"/>
            </w:tcMar>
          </w:tcPr>
          <w:p>
            <w:pPr>
              <w:spacing w:after="0"/>
            </w:pPr>
            <w:r>
              <w:rPr>
                <w:sz w:val="18"/>
              </w:rPr>
              <w:t>+1.988 V</w:t>
            </w:r>
          </w:p>
        </w:tc>
        <w:tc>
          <w:tcPr>
            <w:tcW w:type="dxa" w:w="2376"/>
            <w:vAlign w:val="center"/>
            <w:tcMar>
              <w:top w:w="80" w:type="dxa"/>
              <w:start w:w="120" w:type="dxa"/>
              <w:bottom w:w="80" w:type="dxa"/>
              <w:end w:w="120" w:type="dxa"/>
            </w:tcMar>
          </w:tcPr>
          <w:p>
            <w:pPr>
              <w:spacing w:after="0"/>
            </w:pPr>
            <w:r>
              <w:rPr>
                <w:sz w:val="18"/>
              </w:rPr>
              <w:t>+1.003 / +2.977 V</w:t>
            </w:r>
          </w:p>
        </w:tc>
        <w:tc>
          <w:tcPr>
            <w:tcW w:type="dxa" w:w="2160"/>
            <w:vAlign w:val="center"/>
            <w:tcMar>
              <w:top w:w="80" w:type="dxa"/>
              <w:start w:w="120" w:type="dxa"/>
              <w:bottom w:w="80" w:type="dxa"/>
              <w:end w:w="120" w:type="dxa"/>
            </w:tcMar>
          </w:tcPr>
          <w:p>
            <w:pPr>
              <w:spacing w:after="0"/>
            </w:pPr>
            <w:r>
              <w:rPr>
                <w:sz w:val="18"/>
              </w:rPr>
              <w:t>Clean</w:t>
            </w:r>
          </w:p>
        </w:tc>
      </w:tr>
      <w:tr>
        <w:tc>
          <w:tcPr>
            <w:tcW w:type="dxa" w:w="1800"/>
            <w:vAlign w:val="center"/>
            <w:tcMar>
              <w:top w:w="80" w:type="dxa"/>
              <w:start w:w="120" w:type="dxa"/>
              <w:bottom w:w="80" w:type="dxa"/>
              <w:end w:w="120" w:type="dxa"/>
            </w:tcMar>
          </w:tcPr>
          <w:p>
            <w:pPr>
              <w:spacing w:after="0"/>
            </w:pPr>
            <w:r>
              <w:rPr>
                <w:sz w:val="18"/>
              </w:rPr>
              <w:t>2 Vpp, −2 V</w:t>
            </w:r>
          </w:p>
        </w:tc>
        <w:tc>
          <w:tcPr>
            <w:tcW w:type="dxa" w:w="1584"/>
            <w:vAlign w:val="center"/>
            <w:tcMar>
              <w:top w:w="80" w:type="dxa"/>
              <w:start w:w="120" w:type="dxa"/>
              <w:bottom w:w="80" w:type="dxa"/>
              <w:end w:w="120" w:type="dxa"/>
            </w:tcMar>
          </w:tcPr>
          <w:p>
            <w:pPr>
              <w:spacing w:after="0"/>
            </w:pPr>
            <w:r>
              <w:rPr>
                <w:sz w:val="18"/>
              </w:rPr>
              <w:t>1.9720 V</w:t>
            </w:r>
          </w:p>
        </w:tc>
        <w:tc>
          <w:tcPr>
            <w:tcW w:type="dxa" w:w="1440"/>
            <w:vAlign w:val="center"/>
            <w:tcMar>
              <w:top w:w="80" w:type="dxa"/>
              <w:start w:w="120" w:type="dxa"/>
              <w:bottom w:w="80" w:type="dxa"/>
              <w:end w:w="120" w:type="dxa"/>
            </w:tcMar>
          </w:tcPr>
          <w:p>
            <w:pPr>
              <w:spacing w:after="0"/>
            </w:pPr>
            <w:r>
              <w:rPr>
                <w:sz w:val="18"/>
              </w:rPr>
              <w:t>−2.005 V</w:t>
            </w:r>
          </w:p>
        </w:tc>
        <w:tc>
          <w:tcPr>
            <w:tcW w:type="dxa" w:w="2376"/>
            <w:vAlign w:val="center"/>
            <w:tcMar>
              <w:top w:w="80" w:type="dxa"/>
              <w:start w:w="120" w:type="dxa"/>
              <w:bottom w:w="80" w:type="dxa"/>
              <w:end w:w="120" w:type="dxa"/>
            </w:tcMar>
          </w:tcPr>
          <w:p>
            <w:pPr>
              <w:spacing w:after="0"/>
            </w:pPr>
            <w:r>
              <w:rPr>
                <w:sz w:val="18"/>
              </w:rPr>
              <w:t>−2.990 / −1.018 V</w:t>
            </w:r>
          </w:p>
        </w:tc>
        <w:tc>
          <w:tcPr>
            <w:tcW w:type="dxa" w:w="2160"/>
            <w:vAlign w:val="center"/>
            <w:tcMar>
              <w:top w:w="80" w:type="dxa"/>
              <w:start w:w="120" w:type="dxa"/>
              <w:bottom w:w="80" w:type="dxa"/>
              <w:end w:w="120" w:type="dxa"/>
            </w:tcMar>
          </w:tcPr>
          <w:p>
            <w:pPr>
              <w:spacing w:after="0"/>
            </w:pPr>
            <w:r>
              <w:rPr>
                <w:sz w:val="18"/>
              </w:rPr>
              <w:t>Clean</w:t>
            </w:r>
          </w:p>
        </w:tc>
      </w:tr>
      <w:tr>
        <w:tc>
          <w:tcPr>
            <w:tcW w:type="dxa" w:w="1800"/>
            <w:vAlign w:val="center"/>
            <w:tcMar>
              <w:top w:w="80" w:type="dxa"/>
              <w:start w:w="120" w:type="dxa"/>
              <w:bottom w:w="80" w:type="dxa"/>
              <w:end w:w="120" w:type="dxa"/>
            </w:tcMar>
          </w:tcPr>
          <w:p>
            <w:pPr>
              <w:spacing w:after="0"/>
            </w:pPr>
            <w:r>
              <w:rPr>
                <w:sz w:val="18"/>
              </w:rPr>
              <w:t>6 Vpp, +1 V</w:t>
            </w:r>
          </w:p>
        </w:tc>
        <w:tc>
          <w:tcPr>
            <w:tcW w:type="dxa" w:w="1584"/>
            <w:vAlign w:val="center"/>
            <w:tcMar>
              <w:top w:w="80" w:type="dxa"/>
              <w:start w:w="120" w:type="dxa"/>
              <w:bottom w:w="80" w:type="dxa"/>
              <w:end w:w="120" w:type="dxa"/>
            </w:tcMar>
          </w:tcPr>
          <w:p>
            <w:pPr>
              <w:spacing w:after="0"/>
            </w:pPr>
            <w:r>
              <w:rPr>
                <w:sz w:val="18"/>
              </w:rPr>
              <w:t>5.9871 V</w:t>
            </w:r>
          </w:p>
        </w:tc>
        <w:tc>
          <w:tcPr>
            <w:tcW w:type="dxa" w:w="1440"/>
            <w:vAlign w:val="center"/>
            <w:tcMar>
              <w:top w:w="80" w:type="dxa"/>
              <w:start w:w="120" w:type="dxa"/>
              <w:bottom w:w="80" w:type="dxa"/>
              <w:end w:w="120" w:type="dxa"/>
            </w:tcMar>
          </w:tcPr>
          <w:p>
            <w:pPr>
              <w:spacing w:after="0"/>
            </w:pPr>
            <w:r>
              <w:rPr>
                <w:sz w:val="18"/>
              </w:rPr>
              <w:t>+1.001 V</w:t>
            </w:r>
          </w:p>
        </w:tc>
        <w:tc>
          <w:tcPr>
            <w:tcW w:type="dxa" w:w="2376"/>
            <w:vAlign w:val="center"/>
            <w:tcMar>
              <w:top w:w="80" w:type="dxa"/>
              <w:start w:w="120" w:type="dxa"/>
              <w:bottom w:w="80" w:type="dxa"/>
              <w:end w:w="120" w:type="dxa"/>
            </w:tcMar>
          </w:tcPr>
          <w:p>
            <w:pPr>
              <w:spacing w:after="0"/>
            </w:pPr>
            <w:r>
              <w:rPr>
                <w:sz w:val="18"/>
              </w:rPr>
              <w:t>−1.991 / +3.996 V</w:t>
            </w:r>
          </w:p>
        </w:tc>
        <w:tc>
          <w:tcPr>
            <w:tcW w:type="dxa" w:w="2160"/>
            <w:vAlign w:val="center"/>
            <w:tcMar>
              <w:top w:w="80" w:type="dxa"/>
              <w:start w:w="120" w:type="dxa"/>
              <w:bottom w:w="80" w:type="dxa"/>
              <w:end w:w="120" w:type="dxa"/>
            </w:tcMar>
          </w:tcPr>
          <w:p>
            <w:pPr>
              <w:spacing w:after="0"/>
            </w:pPr>
            <w:r>
              <w:rPr>
                <w:sz w:val="18"/>
              </w:rPr>
              <w:t>Clean</w:t>
            </w:r>
          </w:p>
        </w:tc>
      </w:tr>
      <w:tr>
        <w:tc>
          <w:tcPr>
            <w:tcW w:type="dxa" w:w="1800"/>
            <w:vAlign w:val="center"/>
            <w:tcMar>
              <w:top w:w="80" w:type="dxa"/>
              <w:start w:w="120" w:type="dxa"/>
              <w:bottom w:w="80" w:type="dxa"/>
              <w:end w:w="120" w:type="dxa"/>
            </w:tcMar>
          </w:tcPr>
          <w:p>
            <w:pPr>
              <w:spacing w:after="0"/>
            </w:pPr>
            <w:r>
              <w:rPr>
                <w:sz w:val="18"/>
              </w:rPr>
              <w:t>6 Vpp, −1 V</w:t>
            </w:r>
          </w:p>
        </w:tc>
        <w:tc>
          <w:tcPr>
            <w:tcW w:type="dxa" w:w="1584"/>
            <w:vAlign w:val="center"/>
            <w:tcMar>
              <w:top w:w="80" w:type="dxa"/>
              <w:start w:w="120" w:type="dxa"/>
              <w:bottom w:w="80" w:type="dxa"/>
              <w:end w:w="120" w:type="dxa"/>
            </w:tcMar>
          </w:tcPr>
          <w:p>
            <w:pPr>
              <w:spacing w:after="0"/>
            </w:pPr>
            <w:r>
              <w:rPr>
                <w:sz w:val="18"/>
              </w:rPr>
              <w:t>5.9817 V</w:t>
            </w:r>
          </w:p>
        </w:tc>
        <w:tc>
          <w:tcPr>
            <w:tcW w:type="dxa" w:w="1440"/>
            <w:vAlign w:val="center"/>
            <w:tcMar>
              <w:top w:w="80" w:type="dxa"/>
              <w:start w:w="120" w:type="dxa"/>
              <w:bottom w:w="80" w:type="dxa"/>
              <w:end w:w="120" w:type="dxa"/>
            </w:tcMar>
          </w:tcPr>
          <w:p>
            <w:pPr>
              <w:spacing w:after="0"/>
            </w:pPr>
            <w:r>
              <w:rPr>
                <w:sz w:val="18"/>
              </w:rPr>
              <w:t>−1.005 V</w:t>
            </w:r>
          </w:p>
        </w:tc>
        <w:tc>
          <w:tcPr>
            <w:tcW w:type="dxa" w:w="2376"/>
            <w:vAlign w:val="center"/>
            <w:tcMar>
              <w:top w:w="80" w:type="dxa"/>
              <w:start w:w="120" w:type="dxa"/>
              <w:bottom w:w="80" w:type="dxa"/>
              <w:end w:w="120" w:type="dxa"/>
            </w:tcMar>
          </w:tcPr>
          <w:p>
            <w:pPr>
              <w:spacing w:after="0"/>
            </w:pPr>
            <w:r>
              <w:rPr>
                <w:sz w:val="18"/>
              </w:rPr>
              <w:t>−3.992 / +1.989 V</w:t>
            </w:r>
          </w:p>
        </w:tc>
        <w:tc>
          <w:tcPr>
            <w:tcW w:type="dxa" w:w="2160"/>
            <w:vAlign w:val="center"/>
            <w:tcMar>
              <w:top w:w="80" w:type="dxa"/>
              <w:start w:w="120" w:type="dxa"/>
              <w:bottom w:w="80" w:type="dxa"/>
              <w:end w:w="120" w:type="dxa"/>
            </w:tcMar>
          </w:tcPr>
          <w:p>
            <w:pPr>
              <w:spacing w:after="0"/>
            </w:pPr>
            <w:r>
              <w:rPr>
                <w:sz w:val="18"/>
              </w:rPr>
              <w:t>Clean</w:t>
            </w:r>
          </w:p>
        </w:tc>
      </w:tr>
      <w:tr>
        <w:tc>
          <w:tcPr>
            <w:tcW w:type="dxa" w:w="1800"/>
            <w:vAlign w:val="center"/>
            <w:tcMar>
              <w:top w:w="80" w:type="dxa"/>
              <w:start w:w="120" w:type="dxa"/>
              <w:bottom w:w="80" w:type="dxa"/>
              <w:end w:w="120" w:type="dxa"/>
            </w:tcMar>
          </w:tcPr>
          <w:p>
            <w:pPr>
              <w:spacing w:after="0"/>
            </w:pPr>
            <w:r>
              <w:rPr>
                <w:sz w:val="18"/>
              </w:rPr>
              <w:t>8 Vpp, +1 V</w:t>
            </w:r>
          </w:p>
        </w:tc>
        <w:tc>
          <w:tcPr>
            <w:tcW w:type="dxa" w:w="1584"/>
            <w:vAlign w:val="center"/>
            <w:tcMar>
              <w:top w:w="80" w:type="dxa"/>
              <w:start w:w="120" w:type="dxa"/>
              <w:bottom w:w="80" w:type="dxa"/>
              <w:end w:w="120" w:type="dxa"/>
            </w:tcMar>
          </w:tcPr>
          <w:p>
            <w:pPr>
              <w:spacing w:after="0"/>
            </w:pPr>
            <w:r>
              <w:rPr>
                <w:sz w:val="18"/>
              </w:rPr>
              <w:t>7.8359 V</w:t>
            </w:r>
          </w:p>
        </w:tc>
        <w:tc>
          <w:tcPr>
            <w:tcW w:type="dxa" w:w="1440"/>
            <w:vAlign w:val="center"/>
            <w:tcMar>
              <w:top w:w="80" w:type="dxa"/>
              <w:start w:w="120" w:type="dxa"/>
              <w:bottom w:w="80" w:type="dxa"/>
              <w:end w:w="120" w:type="dxa"/>
            </w:tcMar>
          </w:tcPr>
          <w:p>
            <w:pPr>
              <w:spacing w:after="0"/>
            </w:pPr>
            <w:r>
              <w:rPr>
                <w:sz w:val="18"/>
              </w:rPr>
              <w:t>+0.988 V</w:t>
            </w:r>
          </w:p>
        </w:tc>
        <w:tc>
          <w:tcPr>
            <w:tcW w:type="dxa" w:w="2376"/>
            <w:vAlign w:val="center"/>
            <w:tcMar>
              <w:top w:w="80" w:type="dxa"/>
              <w:start w:w="120" w:type="dxa"/>
              <w:bottom w:w="80" w:type="dxa"/>
              <w:end w:w="120" w:type="dxa"/>
            </w:tcMar>
          </w:tcPr>
          <w:p>
            <w:pPr>
              <w:spacing w:after="0"/>
            </w:pPr>
            <w:r>
              <w:rPr>
                <w:sz w:val="18"/>
              </w:rPr>
              <w:t>−2.998 / +4.838 V</w:t>
            </w:r>
          </w:p>
        </w:tc>
        <w:tc>
          <w:tcPr>
            <w:tcW w:type="dxa" w:w="2160"/>
            <w:vAlign w:val="center"/>
            <w:tcMar>
              <w:top w:w="80" w:type="dxa"/>
              <w:start w:w="120" w:type="dxa"/>
              <w:bottom w:w="80" w:type="dxa"/>
              <w:end w:w="120" w:type="dxa"/>
            </w:tcMar>
          </w:tcPr>
          <w:p>
            <w:pPr>
              <w:spacing w:after="0"/>
            </w:pPr>
            <w:r>
              <w:rPr>
                <w:sz w:val="18"/>
              </w:rPr>
              <w:t>Positive clipping</w:t>
            </w:r>
          </w:p>
        </w:tc>
      </w:tr>
      <w:tr>
        <w:tc>
          <w:tcPr>
            <w:tcW w:type="dxa" w:w="1800"/>
            <w:vAlign w:val="center"/>
            <w:tcMar>
              <w:top w:w="80" w:type="dxa"/>
              <w:start w:w="120" w:type="dxa"/>
              <w:bottom w:w="80" w:type="dxa"/>
              <w:end w:w="120" w:type="dxa"/>
            </w:tcMar>
          </w:tcPr>
          <w:p>
            <w:pPr>
              <w:spacing w:after="0"/>
            </w:pPr>
            <w:r>
              <w:rPr>
                <w:sz w:val="18"/>
              </w:rPr>
              <w:t>8 Vpp, −1 V</w:t>
            </w:r>
          </w:p>
        </w:tc>
        <w:tc>
          <w:tcPr>
            <w:tcW w:type="dxa" w:w="1584"/>
            <w:vAlign w:val="center"/>
            <w:tcMar>
              <w:top w:w="80" w:type="dxa"/>
              <w:start w:w="120" w:type="dxa"/>
              <w:bottom w:w="80" w:type="dxa"/>
              <w:end w:w="120" w:type="dxa"/>
            </w:tcMar>
          </w:tcPr>
          <w:p>
            <w:pPr>
              <w:spacing w:after="0"/>
            </w:pPr>
            <w:r>
              <w:rPr>
                <w:sz w:val="18"/>
              </w:rPr>
              <w:t>7.8484 V</w:t>
            </w:r>
          </w:p>
        </w:tc>
        <w:tc>
          <w:tcPr>
            <w:tcW w:type="dxa" w:w="1440"/>
            <w:vAlign w:val="center"/>
            <w:tcMar>
              <w:top w:w="80" w:type="dxa"/>
              <w:start w:w="120" w:type="dxa"/>
              <w:bottom w:w="80" w:type="dxa"/>
              <w:end w:w="120" w:type="dxa"/>
            </w:tcMar>
          </w:tcPr>
          <w:p>
            <w:pPr>
              <w:spacing w:after="0"/>
            </w:pPr>
            <w:r>
              <w:rPr>
                <w:sz w:val="18"/>
              </w:rPr>
              <w:t>−0.996 V</w:t>
            </w:r>
          </w:p>
        </w:tc>
        <w:tc>
          <w:tcPr>
            <w:tcW w:type="dxa" w:w="2376"/>
            <w:vAlign w:val="center"/>
            <w:tcMar>
              <w:top w:w="80" w:type="dxa"/>
              <w:start w:w="120" w:type="dxa"/>
              <w:bottom w:w="80" w:type="dxa"/>
              <w:end w:w="120" w:type="dxa"/>
            </w:tcMar>
          </w:tcPr>
          <w:p>
            <w:pPr>
              <w:spacing w:after="0"/>
            </w:pPr>
            <w:r>
              <w:rPr>
                <w:sz w:val="18"/>
              </w:rPr>
              <w:t>−4.851 / +2.998 V</w:t>
            </w:r>
          </w:p>
        </w:tc>
        <w:tc>
          <w:tcPr>
            <w:tcW w:type="dxa" w:w="2160"/>
            <w:vAlign w:val="center"/>
            <w:tcMar>
              <w:top w:w="80" w:type="dxa"/>
              <w:start w:w="120" w:type="dxa"/>
              <w:bottom w:w="80" w:type="dxa"/>
              <w:end w:w="120" w:type="dxa"/>
            </w:tcMar>
          </w:tcPr>
          <w:p>
            <w:pPr>
              <w:spacing w:after="0"/>
            </w:pPr>
            <w:r>
              <w:rPr>
                <w:sz w:val="18"/>
              </w:rPr>
              <w:t>Negative clipping</w:t>
            </w:r>
          </w:p>
        </w:tc>
      </w:tr>
    </w:tbl>
    <w:p>
      <w:pPr>
        <w:spacing w:after="0"/>
      </w:pPr>
    </w:p>
    <w:p>
      <w:pPr>
        <w:keepNext/>
        <w:jc w:val="center"/>
      </w:pPr>
      <w:r>
        <w:drawing>
          <wp:inline xmlns:a="http://schemas.openxmlformats.org/drawingml/2006/main" xmlns:pic="http://schemas.openxmlformats.org/drawingml/2006/picture">
            <wp:extent cx="5715000" cy="2497522"/>
            <wp:docPr id="7" name="Picture 7"/>
            <wp:cNvGraphicFramePr>
              <a:graphicFrameLocks noChangeAspect="1"/>
            </wp:cNvGraphicFramePr>
            <a:graphic>
              <a:graphicData uri="http://schemas.openxmlformats.org/drawingml/2006/picture">
                <pic:pic>
                  <pic:nvPicPr>
                    <pic:cNvPr id="0" name="ad2de963-7749-4251-896a-e4f8b54577f4.png"/>
                    <pic:cNvPicPr/>
                  </pic:nvPicPr>
                  <pic:blipFill>
                    <a:blip r:embed="rId17"/>
                    <a:stretch>
                      <a:fillRect/>
                    </a:stretch>
                  </pic:blipFill>
                  <pic:spPr>
                    <a:xfrm>
                      <a:off x="0" y="0"/>
                      <a:ext cx="5715000" cy="2497522"/>
                    </a:xfrm>
                    <a:prstGeom prst="rect"/>
                  </pic:spPr>
                </pic:pic>
              </a:graphicData>
            </a:graphic>
          </wp:inline>
        </w:drawing>
      </w:r>
    </w:p>
    <w:p>
      <w:pPr>
        <w:spacing w:before="60" w:after="160"/>
        <w:jc w:val="center"/>
      </w:pPr>
      <w:r>
        <w:rPr>
          <w:i/>
          <w:color w:val="666666"/>
          <w:sz w:val="18"/>
        </w:rPr>
        <w:t>Figure 7. Clean representative envelope point: 6 Vpp with +1 V offset.</w:t>
      </w:r>
    </w:p>
    <w:p>
      <w:pPr>
        <w:keepNext/>
        <w:jc w:val="center"/>
      </w:pPr>
      <w:r>
        <w:drawing>
          <wp:inline xmlns:a="http://schemas.openxmlformats.org/drawingml/2006/main" xmlns:pic="http://schemas.openxmlformats.org/drawingml/2006/picture">
            <wp:extent cx="5715000" cy="2489150"/>
            <wp:docPr id="8" name="Picture 8"/>
            <wp:cNvGraphicFramePr>
              <a:graphicFrameLocks noChangeAspect="1"/>
            </wp:cNvGraphicFramePr>
            <a:graphic>
              <a:graphicData uri="http://schemas.openxmlformats.org/drawingml/2006/picture">
                <pic:pic>
                  <pic:nvPicPr>
                    <pic:cNvPr id="0" name="139acfc8-5348-4455-91d8-f305e722a026.png"/>
                    <pic:cNvPicPr/>
                  </pic:nvPicPr>
                  <pic:blipFill>
                    <a:blip r:embed="rId18"/>
                    <a:stretch>
                      <a:fillRect/>
                    </a:stretch>
                  </pic:blipFill>
                  <pic:spPr>
                    <a:xfrm>
                      <a:off x="0" y="0"/>
                      <a:ext cx="5715000" cy="2489150"/>
                    </a:xfrm>
                    <a:prstGeom prst="rect"/>
                  </pic:spPr>
                </pic:pic>
              </a:graphicData>
            </a:graphic>
          </wp:inline>
        </w:drawing>
      </w:r>
    </w:p>
    <w:p>
      <w:pPr>
        <w:spacing w:before="60" w:after="160"/>
        <w:jc w:val="center"/>
      </w:pPr>
      <w:r>
        <w:rPr>
          <w:i/>
          <w:color w:val="666666"/>
          <w:sz w:val="18"/>
        </w:rPr>
        <w:t>Figure 8. Over-range condition: 8 Vpp with +1 V offset clips near the measured +4.84 V positive ceiling.</w:t>
      </w:r>
    </w:p>
    <w:p>
      <w:pPr>
        <w:keepNext/>
        <w:jc w:val="center"/>
      </w:pPr>
      <w:r>
        <w:drawing>
          <wp:inline xmlns:a="http://schemas.openxmlformats.org/drawingml/2006/main" xmlns:pic="http://schemas.openxmlformats.org/drawingml/2006/picture">
            <wp:extent cx="5715000" cy="2489150"/>
            <wp:docPr id="9" name="Picture 9"/>
            <wp:cNvGraphicFramePr>
              <a:graphicFrameLocks noChangeAspect="1"/>
            </wp:cNvGraphicFramePr>
            <a:graphic>
              <a:graphicData uri="http://schemas.openxmlformats.org/drawingml/2006/picture">
                <pic:pic>
                  <pic:nvPicPr>
                    <pic:cNvPr id="0" name="ed30c4a4-fc50-4765-a204-9c02925b0184.png"/>
                    <pic:cNvPicPr/>
                  </pic:nvPicPr>
                  <pic:blipFill>
                    <a:blip r:embed="rId19"/>
                    <a:stretch>
                      <a:fillRect/>
                    </a:stretch>
                  </pic:blipFill>
                  <pic:spPr>
                    <a:xfrm>
                      <a:off x="0" y="0"/>
                      <a:ext cx="5715000" cy="2489150"/>
                    </a:xfrm>
                    <a:prstGeom prst="rect"/>
                  </pic:spPr>
                </pic:pic>
              </a:graphicData>
            </a:graphic>
          </wp:inline>
        </w:drawing>
      </w:r>
    </w:p>
    <w:p>
      <w:pPr>
        <w:spacing w:before="60" w:after="160"/>
        <w:jc w:val="center"/>
      </w:pPr>
      <w:r>
        <w:rPr>
          <w:i/>
          <w:color w:val="666666"/>
          <w:sz w:val="18"/>
        </w:rPr>
        <w:t>Figure 9. Symmetric over-range result: 8 Vpp with −1 V offset clips near −4.85 V.</w:t>
      </w:r>
    </w:p>
    <w:p>
      <w:r>
        <w:t>The observed positive and negative clipping limits are closely matched. A conservative firmware/app warning boundary is:</w:t>
      </w:r>
    </w:p>
    <w:p>
      <w:pPr>
        <w:jc w:val="center"/>
      </w:pPr>
      <w:r>
        <w:rPr>
          <w:b/>
          <w:color w:val="1F4D78"/>
          <w:sz w:val="26"/>
        </w:rPr>
        <w:t>Vpp / 2 + |Voffset| ≤ 4.7 V</w:t>
      </w:r>
    </w:p>
    <w:p>
      <w:pPr>
        <w:pStyle w:val="Heading1"/>
      </w:pPr>
      <w:r>
        <w:t>5. Sine-wave frequency response</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440"/>
            <w:shd w:fill="E8EEF5"/>
            <w:vAlign w:val="center"/>
            <w:tcMar>
              <w:top w:w="80" w:type="dxa"/>
              <w:start w:w="120" w:type="dxa"/>
              <w:bottom w:w="80" w:type="dxa"/>
              <w:end w:w="120" w:type="dxa"/>
            </w:tcMar>
          </w:tcPr>
          <w:p>
            <w:r>
              <w:rPr>
                <w:b/>
                <w:sz w:val="18"/>
              </w:rPr>
              <w:t>Frequency</w:t>
            </w:r>
          </w:p>
        </w:tc>
        <w:tc>
          <w:tcPr>
            <w:tcW w:type="dxa" w:w="1440"/>
            <w:shd w:fill="E8EEF5"/>
            <w:vAlign w:val="center"/>
            <w:tcMar>
              <w:top w:w="80" w:type="dxa"/>
              <w:start w:w="120" w:type="dxa"/>
              <w:bottom w:w="80" w:type="dxa"/>
              <w:end w:w="120" w:type="dxa"/>
            </w:tcMar>
          </w:tcPr>
          <w:p>
            <w:r>
              <w:rPr>
                <w:b/>
                <w:sz w:val="18"/>
              </w:rPr>
              <w:t>Requested</w:t>
            </w:r>
          </w:p>
        </w:tc>
        <w:tc>
          <w:tcPr>
            <w:tcW w:type="dxa" w:w="1800"/>
            <w:shd w:fill="E8EEF5"/>
            <w:vAlign w:val="center"/>
            <w:tcMar>
              <w:top w:w="80" w:type="dxa"/>
              <w:start w:w="120" w:type="dxa"/>
              <w:bottom w:w="80" w:type="dxa"/>
              <w:end w:w="120" w:type="dxa"/>
            </w:tcMar>
          </w:tcPr>
          <w:p>
            <w:r>
              <w:rPr>
                <w:b/>
                <w:sz w:val="18"/>
              </w:rPr>
              <w:t>Measured output</w:t>
            </w:r>
          </w:p>
        </w:tc>
        <w:tc>
          <w:tcPr>
            <w:tcW w:type="dxa" w:w="4680"/>
            <w:shd w:fill="E8EEF5"/>
            <w:vAlign w:val="center"/>
            <w:tcMar>
              <w:top w:w="80" w:type="dxa"/>
              <w:start w:w="120" w:type="dxa"/>
              <w:bottom w:w="80" w:type="dxa"/>
              <w:end w:w="120" w:type="dxa"/>
            </w:tcMar>
          </w:tcPr>
          <w:p>
            <w:r>
              <w:rPr>
                <w:b/>
                <w:sz w:val="18"/>
              </w:rPr>
              <w:t>Observation</w:t>
            </w:r>
          </w:p>
        </w:tc>
      </w:tr>
      <w:tr>
        <w:tc>
          <w:tcPr>
            <w:tcW w:type="dxa" w:w="1440"/>
            <w:vAlign w:val="center"/>
            <w:tcMar>
              <w:top w:w="80" w:type="dxa"/>
              <w:start w:w="120" w:type="dxa"/>
              <w:bottom w:w="80" w:type="dxa"/>
              <w:end w:w="120" w:type="dxa"/>
            </w:tcMar>
          </w:tcPr>
          <w:p>
            <w:pPr>
              <w:spacing w:after="0"/>
            </w:pPr>
            <w:r>
              <w:rPr>
                <w:sz w:val="18"/>
              </w:rPr>
              <w:t>10 Hz</w:t>
            </w:r>
          </w:p>
        </w:tc>
        <w:tc>
          <w:tcPr>
            <w:tcW w:type="dxa" w:w="1440"/>
            <w:vAlign w:val="center"/>
            <w:tcMar>
              <w:top w:w="80" w:type="dxa"/>
              <w:start w:w="120" w:type="dxa"/>
              <w:bottom w:w="80" w:type="dxa"/>
              <w:end w:w="120" w:type="dxa"/>
            </w:tcMar>
          </w:tcPr>
          <w:p>
            <w:pPr>
              <w:spacing w:after="0"/>
            </w:pPr>
            <w:r>
              <w:rPr>
                <w:sz w:val="18"/>
              </w:rPr>
              <w:t>4 Vpp</w:t>
            </w:r>
          </w:p>
        </w:tc>
        <w:tc>
          <w:tcPr>
            <w:tcW w:type="dxa" w:w="1800"/>
            <w:vAlign w:val="center"/>
            <w:tcMar>
              <w:top w:w="80" w:type="dxa"/>
              <w:start w:w="120" w:type="dxa"/>
              <w:bottom w:w="80" w:type="dxa"/>
              <w:end w:w="120" w:type="dxa"/>
            </w:tcMar>
          </w:tcPr>
          <w:p>
            <w:pPr>
              <w:spacing w:after="0"/>
            </w:pPr>
            <w:r>
              <w:rPr>
                <w:sz w:val="18"/>
              </w:rPr>
              <w:t>3.955 Vpp</w:t>
            </w:r>
          </w:p>
        </w:tc>
        <w:tc>
          <w:tcPr>
            <w:tcW w:type="dxa" w:w="4680"/>
            <w:vAlign w:val="center"/>
            <w:tcMar>
              <w:top w:w="80" w:type="dxa"/>
              <w:start w:w="120" w:type="dxa"/>
              <w:bottom w:w="80" w:type="dxa"/>
              <w:end w:w="120" w:type="dxa"/>
            </w:tcMar>
          </w:tcPr>
          <w:p>
            <w:pPr>
              <w:spacing w:after="0"/>
            </w:pPr>
            <w:r>
              <w:rPr>
                <w:sz w:val="18"/>
              </w:rPr>
              <w:t>Clean</w:t>
            </w:r>
          </w:p>
        </w:tc>
      </w:tr>
      <w:tr>
        <w:tc>
          <w:tcPr>
            <w:tcW w:type="dxa" w:w="1440"/>
            <w:vAlign w:val="center"/>
            <w:tcMar>
              <w:top w:w="80" w:type="dxa"/>
              <w:start w:w="120" w:type="dxa"/>
              <w:bottom w:w="80" w:type="dxa"/>
              <w:end w:w="120" w:type="dxa"/>
            </w:tcMar>
          </w:tcPr>
          <w:p>
            <w:pPr>
              <w:spacing w:after="0"/>
            </w:pPr>
            <w:r>
              <w:rPr>
                <w:sz w:val="18"/>
              </w:rPr>
              <w:t>100 Hz</w:t>
            </w:r>
          </w:p>
        </w:tc>
        <w:tc>
          <w:tcPr>
            <w:tcW w:type="dxa" w:w="1440"/>
            <w:vAlign w:val="center"/>
            <w:tcMar>
              <w:top w:w="80" w:type="dxa"/>
              <w:start w:w="120" w:type="dxa"/>
              <w:bottom w:w="80" w:type="dxa"/>
              <w:end w:w="120" w:type="dxa"/>
            </w:tcMar>
          </w:tcPr>
          <w:p>
            <w:pPr>
              <w:spacing w:after="0"/>
            </w:pPr>
            <w:r>
              <w:rPr>
                <w:sz w:val="18"/>
              </w:rPr>
              <w:t>4 Vpp</w:t>
            </w:r>
          </w:p>
        </w:tc>
        <w:tc>
          <w:tcPr>
            <w:tcW w:type="dxa" w:w="1800"/>
            <w:vAlign w:val="center"/>
            <w:tcMar>
              <w:top w:w="80" w:type="dxa"/>
              <w:start w:w="120" w:type="dxa"/>
              <w:bottom w:w="80" w:type="dxa"/>
              <w:end w:w="120" w:type="dxa"/>
            </w:tcMar>
          </w:tcPr>
          <w:p>
            <w:pPr>
              <w:spacing w:after="0"/>
            </w:pPr>
            <w:r>
              <w:rPr>
                <w:sz w:val="18"/>
              </w:rPr>
              <w:t>3.950 Vpp</w:t>
            </w:r>
          </w:p>
        </w:tc>
        <w:tc>
          <w:tcPr>
            <w:tcW w:type="dxa" w:w="4680"/>
            <w:vAlign w:val="center"/>
            <w:tcMar>
              <w:top w:w="80" w:type="dxa"/>
              <w:start w:w="120" w:type="dxa"/>
              <w:bottom w:w="80" w:type="dxa"/>
              <w:end w:w="120" w:type="dxa"/>
            </w:tcMar>
          </w:tcPr>
          <w:p>
            <w:pPr>
              <w:spacing w:after="0"/>
            </w:pPr>
            <w:r>
              <w:rPr>
                <w:sz w:val="18"/>
              </w:rPr>
              <w:t>Clean</w:t>
            </w:r>
          </w:p>
        </w:tc>
      </w:tr>
      <w:tr>
        <w:tc>
          <w:tcPr>
            <w:tcW w:type="dxa" w:w="1440"/>
            <w:vAlign w:val="center"/>
            <w:tcMar>
              <w:top w:w="80" w:type="dxa"/>
              <w:start w:w="120" w:type="dxa"/>
              <w:bottom w:w="80" w:type="dxa"/>
              <w:end w:w="120" w:type="dxa"/>
            </w:tcMar>
          </w:tcPr>
          <w:p>
            <w:pPr>
              <w:spacing w:after="0"/>
            </w:pPr>
            <w:r>
              <w:rPr>
                <w:sz w:val="18"/>
              </w:rPr>
              <w:t>1 kHz</w:t>
            </w:r>
          </w:p>
        </w:tc>
        <w:tc>
          <w:tcPr>
            <w:tcW w:type="dxa" w:w="1440"/>
            <w:vAlign w:val="center"/>
            <w:tcMar>
              <w:top w:w="80" w:type="dxa"/>
              <w:start w:w="120" w:type="dxa"/>
              <w:bottom w:w="80" w:type="dxa"/>
              <w:end w:w="120" w:type="dxa"/>
            </w:tcMar>
          </w:tcPr>
          <w:p>
            <w:pPr>
              <w:spacing w:after="0"/>
            </w:pPr>
            <w:r>
              <w:rPr>
                <w:sz w:val="18"/>
              </w:rPr>
              <w:t>4 Vpp</w:t>
            </w:r>
          </w:p>
        </w:tc>
        <w:tc>
          <w:tcPr>
            <w:tcW w:type="dxa" w:w="1800"/>
            <w:vAlign w:val="center"/>
            <w:tcMar>
              <w:top w:w="80" w:type="dxa"/>
              <w:start w:w="120" w:type="dxa"/>
              <w:bottom w:w="80" w:type="dxa"/>
              <w:end w:w="120" w:type="dxa"/>
            </w:tcMar>
          </w:tcPr>
          <w:p>
            <w:pPr>
              <w:spacing w:after="0"/>
            </w:pPr>
            <w:r>
              <w:rPr>
                <w:sz w:val="18"/>
              </w:rPr>
              <w:t>3.959 Vpp</w:t>
            </w:r>
          </w:p>
        </w:tc>
        <w:tc>
          <w:tcPr>
            <w:tcW w:type="dxa" w:w="4680"/>
            <w:vAlign w:val="center"/>
            <w:tcMar>
              <w:top w:w="80" w:type="dxa"/>
              <w:start w:w="120" w:type="dxa"/>
              <w:bottom w:w="80" w:type="dxa"/>
              <w:end w:w="120" w:type="dxa"/>
            </w:tcMar>
          </w:tcPr>
          <w:p>
            <w:pPr>
              <w:spacing w:after="0"/>
            </w:pPr>
            <w:r>
              <w:rPr>
                <w:sz w:val="18"/>
              </w:rPr>
              <w:t>Clean</w:t>
            </w:r>
          </w:p>
        </w:tc>
      </w:tr>
      <w:tr>
        <w:tc>
          <w:tcPr>
            <w:tcW w:type="dxa" w:w="1440"/>
            <w:vAlign w:val="center"/>
            <w:tcMar>
              <w:top w:w="80" w:type="dxa"/>
              <w:start w:w="120" w:type="dxa"/>
              <w:bottom w:w="80" w:type="dxa"/>
              <w:end w:w="120" w:type="dxa"/>
            </w:tcMar>
          </w:tcPr>
          <w:p>
            <w:pPr>
              <w:spacing w:after="0"/>
            </w:pPr>
            <w:r>
              <w:rPr>
                <w:sz w:val="18"/>
              </w:rPr>
              <w:t>10 kHz</w:t>
            </w:r>
          </w:p>
        </w:tc>
        <w:tc>
          <w:tcPr>
            <w:tcW w:type="dxa" w:w="1440"/>
            <w:vAlign w:val="center"/>
            <w:tcMar>
              <w:top w:w="80" w:type="dxa"/>
              <w:start w:w="120" w:type="dxa"/>
              <w:bottom w:w="80" w:type="dxa"/>
              <w:end w:w="120" w:type="dxa"/>
            </w:tcMar>
          </w:tcPr>
          <w:p>
            <w:pPr>
              <w:spacing w:after="0"/>
            </w:pPr>
            <w:r>
              <w:rPr>
                <w:sz w:val="18"/>
              </w:rPr>
              <w:t>4 Vpp</w:t>
            </w:r>
          </w:p>
        </w:tc>
        <w:tc>
          <w:tcPr>
            <w:tcW w:type="dxa" w:w="1800"/>
            <w:vAlign w:val="center"/>
            <w:tcMar>
              <w:top w:w="80" w:type="dxa"/>
              <w:start w:w="120" w:type="dxa"/>
              <w:bottom w:w="80" w:type="dxa"/>
              <w:end w:w="120" w:type="dxa"/>
            </w:tcMar>
          </w:tcPr>
          <w:p>
            <w:pPr>
              <w:spacing w:after="0"/>
            </w:pPr>
            <w:r>
              <w:rPr>
                <w:sz w:val="18"/>
              </w:rPr>
              <w:t>3.980 Vpp</w:t>
            </w:r>
          </w:p>
        </w:tc>
        <w:tc>
          <w:tcPr>
            <w:tcW w:type="dxa" w:w="4680"/>
            <w:vAlign w:val="center"/>
            <w:tcMar>
              <w:top w:w="80" w:type="dxa"/>
              <w:start w:w="120" w:type="dxa"/>
              <w:bottom w:w="80" w:type="dxa"/>
              <w:end w:w="120" w:type="dxa"/>
            </w:tcMar>
          </w:tcPr>
          <w:p>
            <w:pPr>
              <w:spacing w:after="0"/>
            </w:pPr>
            <w:r>
              <w:rPr>
                <w:sz w:val="18"/>
              </w:rPr>
              <w:t>Clean</w:t>
            </w:r>
          </w:p>
        </w:tc>
      </w:tr>
      <w:tr>
        <w:tc>
          <w:tcPr>
            <w:tcW w:type="dxa" w:w="1440"/>
            <w:vAlign w:val="center"/>
            <w:tcMar>
              <w:top w:w="80" w:type="dxa"/>
              <w:start w:w="120" w:type="dxa"/>
              <w:bottom w:w="80" w:type="dxa"/>
              <w:end w:w="120" w:type="dxa"/>
            </w:tcMar>
          </w:tcPr>
          <w:p>
            <w:pPr>
              <w:spacing w:after="0"/>
            </w:pPr>
            <w:r>
              <w:rPr>
                <w:sz w:val="18"/>
              </w:rPr>
              <w:t>50 kHz</w:t>
            </w:r>
          </w:p>
        </w:tc>
        <w:tc>
          <w:tcPr>
            <w:tcW w:type="dxa" w:w="1440"/>
            <w:vAlign w:val="center"/>
            <w:tcMar>
              <w:top w:w="80" w:type="dxa"/>
              <w:start w:w="120" w:type="dxa"/>
              <w:bottom w:w="80" w:type="dxa"/>
              <w:end w:w="120" w:type="dxa"/>
            </w:tcMar>
          </w:tcPr>
          <w:p>
            <w:pPr>
              <w:spacing w:after="0"/>
            </w:pPr>
            <w:r>
              <w:rPr>
                <w:sz w:val="18"/>
              </w:rPr>
              <w:t>4 Vpp</w:t>
            </w:r>
          </w:p>
        </w:tc>
        <w:tc>
          <w:tcPr>
            <w:tcW w:type="dxa" w:w="1800"/>
            <w:vAlign w:val="center"/>
            <w:tcMar>
              <w:top w:w="80" w:type="dxa"/>
              <w:start w:w="120" w:type="dxa"/>
              <w:bottom w:w="80" w:type="dxa"/>
              <w:end w:w="120" w:type="dxa"/>
            </w:tcMar>
          </w:tcPr>
          <w:p>
            <w:pPr>
              <w:spacing w:after="0"/>
            </w:pPr>
            <w:r>
              <w:rPr>
                <w:sz w:val="18"/>
              </w:rPr>
              <w:t>3.851 Vpp</w:t>
            </w:r>
          </w:p>
        </w:tc>
        <w:tc>
          <w:tcPr>
            <w:tcW w:type="dxa" w:w="4680"/>
            <w:vAlign w:val="center"/>
            <w:tcMar>
              <w:top w:w="80" w:type="dxa"/>
              <w:start w:w="120" w:type="dxa"/>
              <w:bottom w:w="80" w:type="dxa"/>
              <w:end w:w="120" w:type="dxa"/>
            </w:tcMar>
          </w:tcPr>
          <w:p>
            <w:pPr>
              <w:spacing w:after="0"/>
            </w:pPr>
            <w:r>
              <w:rPr>
                <w:sz w:val="18"/>
              </w:rPr>
              <w:t>Mild attenuation/distortion begins</w:t>
            </w:r>
          </w:p>
        </w:tc>
      </w:tr>
      <w:tr>
        <w:tc>
          <w:tcPr>
            <w:tcW w:type="dxa" w:w="1440"/>
            <w:vAlign w:val="center"/>
            <w:tcMar>
              <w:top w:w="80" w:type="dxa"/>
              <w:start w:w="120" w:type="dxa"/>
              <w:bottom w:w="80" w:type="dxa"/>
              <w:end w:w="120" w:type="dxa"/>
            </w:tcMar>
          </w:tcPr>
          <w:p>
            <w:pPr>
              <w:spacing w:after="0"/>
            </w:pPr>
            <w:r>
              <w:rPr>
                <w:sz w:val="18"/>
              </w:rPr>
              <w:t>100 kHz</w:t>
            </w:r>
          </w:p>
        </w:tc>
        <w:tc>
          <w:tcPr>
            <w:tcW w:type="dxa" w:w="1440"/>
            <w:vAlign w:val="center"/>
            <w:tcMar>
              <w:top w:w="80" w:type="dxa"/>
              <w:start w:w="120" w:type="dxa"/>
              <w:bottom w:w="80" w:type="dxa"/>
              <w:end w:w="120" w:type="dxa"/>
            </w:tcMar>
          </w:tcPr>
          <w:p>
            <w:pPr>
              <w:spacing w:after="0"/>
            </w:pPr>
            <w:r>
              <w:rPr>
                <w:sz w:val="18"/>
              </w:rPr>
              <w:t>4 Vpp</w:t>
            </w:r>
          </w:p>
        </w:tc>
        <w:tc>
          <w:tcPr>
            <w:tcW w:type="dxa" w:w="1800"/>
            <w:vAlign w:val="center"/>
            <w:tcMar>
              <w:top w:w="80" w:type="dxa"/>
              <w:start w:w="120" w:type="dxa"/>
              <w:bottom w:w="80" w:type="dxa"/>
              <w:end w:w="120" w:type="dxa"/>
            </w:tcMar>
          </w:tcPr>
          <w:p>
            <w:pPr>
              <w:spacing w:after="0"/>
            </w:pPr>
            <w:r>
              <w:rPr>
                <w:sz w:val="18"/>
              </w:rPr>
              <w:t>2.374 Vpp</w:t>
            </w:r>
          </w:p>
        </w:tc>
        <w:tc>
          <w:tcPr>
            <w:tcW w:type="dxa" w:w="4680"/>
            <w:vAlign w:val="center"/>
            <w:tcMar>
              <w:top w:w="80" w:type="dxa"/>
              <w:start w:w="120" w:type="dxa"/>
              <w:bottom w:w="80" w:type="dxa"/>
              <w:end w:w="120" w:type="dxa"/>
            </w:tcMar>
          </w:tcPr>
          <w:p>
            <w:pPr>
              <w:spacing w:after="0"/>
            </w:pPr>
            <w:r>
              <w:rPr>
                <w:sz w:val="18"/>
              </w:rPr>
              <w:t>Severe triangular distortion</w:t>
            </w:r>
          </w:p>
        </w:tc>
      </w:tr>
      <w:tr>
        <w:tc>
          <w:tcPr>
            <w:tcW w:type="dxa" w:w="1440"/>
            <w:vAlign w:val="center"/>
            <w:tcMar>
              <w:top w:w="80" w:type="dxa"/>
              <w:start w:w="120" w:type="dxa"/>
              <w:bottom w:w="80" w:type="dxa"/>
              <w:end w:w="120" w:type="dxa"/>
            </w:tcMar>
          </w:tcPr>
          <w:p>
            <w:pPr>
              <w:spacing w:after="0"/>
            </w:pPr>
            <w:r>
              <w:rPr>
                <w:sz w:val="18"/>
              </w:rPr>
              <w:t>500 kHz</w:t>
            </w:r>
          </w:p>
        </w:tc>
        <w:tc>
          <w:tcPr>
            <w:tcW w:type="dxa" w:w="1440"/>
            <w:vAlign w:val="center"/>
            <w:tcMar>
              <w:top w:w="80" w:type="dxa"/>
              <w:start w:w="120" w:type="dxa"/>
              <w:bottom w:w="80" w:type="dxa"/>
              <w:end w:w="120" w:type="dxa"/>
            </w:tcMar>
          </w:tcPr>
          <w:p>
            <w:pPr>
              <w:spacing w:after="0"/>
            </w:pPr>
            <w:r>
              <w:rPr>
                <w:sz w:val="18"/>
              </w:rPr>
              <w:t>4 Vpp</w:t>
            </w:r>
          </w:p>
        </w:tc>
        <w:tc>
          <w:tcPr>
            <w:tcW w:type="dxa" w:w="1800"/>
            <w:vAlign w:val="center"/>
            <w:tcMar>
              <w:top w:w="80" w:type="dxa"/>
              <w:start w:w="120" w:type="dxa"/>
              <w:bottom w:w="80" w:type="dxa"/>
              <w:end w:w="120" w:type="dxa"/>
            </w:tcMar>
          </w:tcPr>
          <w:p>
            <w:pPr>
              <w:spacing w:after="0"/>
            </w:pPr>
            <w:r>
              <w:rPr>
                <w:sz w:val="18"/>
              </w:rPr>
              <w:t>≈0.448 Vpp</w:t>
            </w:r>
          </w:p>
        </w:tc>
        <w:tc>
          <w:tcPr>
            <w:tcW w:type="dxa" w:w="4680"/>
            <w:vAlign w:val="center"/>
            <w:tcMar>
              <w:top w:w="80" w:type="dxa"/>
              <w:start w:w="120" w:type="dxa"/>
              <w:bottom w:w="80" w:type="dxa"/>
              <w:end w:w="120" w:type="dxa"/>
            </w:tcMar>
          </w:tcPr>
          <w:p>
            <w:pPr>
              <w:spacing w:after="0"/>
            </w:pPr>
            <w:r>
              <w:rPr>
                <w:sz w:val="18"/>
              </w:rPr>
              <w:t>Strong attenuation; not a precision sine</w:t>
            </w:r>
          </w:p>
        </w:tc>
      </w:tr>
      <w:tr>
        <w:tc>
          <w:tcPr>
            <w:tcW w:type="dxa" w:w="1440"/>
            <w:vAlign w:val="center"/>
            <w:tcMar>
              <w:top w:w="80" w:type="dxa"/>
              <w:start w:w="120" w:type="dxa"/>
              <w:bottom w:w="80" w:type="dxa"/>
              <w:end w:w="120" w:type="dxa"/>
            </w:tcMar>
          </w:tcPr>
          <w:p>
            <w:pPr>
              <w:spacing w:after="0"/>
            </w:pPr>
            <w:r>
              <w:rPr>
                <w:sz w:val="18"/>
              </w:rPr>
              <w:t>1 MHz</w:t>
            </w:r>
          </w:p>
        </w:tc>
        <w:tc>
          <w:tcPr>
            <w:tcW w:type="dxa" w:w="1440"/>
            <w:vAlign w:val="center"/>
            <w:tcMar>
              <w:top w:w="80" w:type="dxa"/>
              <w:start w:w="120" w:type="dxa"/>
              <w:bottom w:w="80" w:type="dxa"/>
              <w:end w:w="120" w:type="dxa"/>
            </w:tcMar>
          </w:tcPr>
          <w:p>
            <w:pPr>
              <w:spacing w:after="0"/>
            </w:pPr>
            <w:r>
              <w:rPr>
                <w:sz w:val="18"/>
              </w:rPr>
              <w:t>4 Vpp</w:t>
            </w:r>
          </w:p>
        </w:tc>
        <w:tc>
          <w:tcPr>
            <w:tcW w:type="dxa" w:w="1800"/>
            <w:vAlign w:val="center"/>
            <w:tcMar>
              <w:top w:w="80" w:type="dxa"/>
              <w:start w:w="120" w:type="dxa"/>
              <w:bottom w:w="80" w:type="dxa"/>
              <w:end w:w="120" w:type="dxa"/>
            </w:tcMar>
          </w:tcPr>
          <w:p>
            <w:pPr>
              <w:spacing w:after="0"/>
            </w:pPr>
            <w:r>
              <w:rPr>
                <w:sz w:val="18"/>
              </w:rPr>
              <w:t>≈0.193 Vpp</w:t>
            </w:r>
          </w:p>
        </w:tc>
        <w:tc>
          <w:tcPr>
            <w:tcW w:type="dxa" w:w="4680"/>
            <w:vAlign w:val="center"/>
            <w:tcMar>
              <w:top w:w="80" w:type="dxa"/>
              <w:start w:w="120" w:type="dxa"/>
              <w:bottom w:w="80" w:type="dxa"/>
              <w:end w:w="120" w:type="dxa"/>
            </w:tcMar>
          </w:tcPr>
          <w:p>
            <w:pPr>
              <w:spacing w:after="0"/>
            </w:pPr>
            <w:r>
              <w:rPr>
                <w:sz w:val="18"/>
              </w:rPr>
              <w:t>Not usable as a precision sine</w:t>
            </w:r>
          </w:p>
        </w:tc>
      </w:tr>
    </w:tbl>
    <w:p>
      <w:pPr>
        <w:spacing w:after="0"/>
      </w:pPr>
    </w:p>
    <w:p>
      <w:pPr>
        <w:keepNext/>
        <w:jc w:val="center"/>
      </w:pPr>
      <w:r>
        <w:drawing>
          <wp:inline xmlns:a="http://schemas.openxmlformats.org/drawingml/2006/main" xmlns:pic="http://schemas.openxmlformats.org/drawingml/2006/picture">
            <wp:extent cx="5715000" cy="2477988"/>
            <wp:docPr id="10" name="Picture 10"/>
            <wp:cNvGraphicFramePr>
              <a:graphicFrameLocks noChangeAspect="1"/>
            </wp:cNvGraphicFramePr>
            <a:graphic>
              <a:graphicData uri="http://schemas.openxmlformats.org/drawingml/2006/picture">
                <pic:pic>
                  <pic:nvPicPr>
                    <pic:cNvPr id="0" name="06529d8b-30c2-4cb8-93cd-7dfac50203eb.png"/>
                    <pic:cNvPicPr/>
                  </pic:nvPicPr>
                  <pic:blipFill>
                    <a:blip r:embed="rId20"/>
                    <a:stretch>
                      <a:fillRect/>
                    </a:stretch>
                  </pic:blipFill>
                  <pic:spPr>
                    <a:xfrm>
                      <a:off x="0" y="0"/>
                      <a:ext cx="5715000" cy="2477988"/>
                    </a:xfrm>
                    <a:prstGeom prst="rect"/>
                  </pic:spPr>
                </pic:pic>
              </a:graphicData>
            </a:graphic>
          </wp:inline>
        </w:drawing>
      </w:r>
    </w:p>
    <w:p>
      <w:pPr>
        <w:spacing w:before="60" w:after="160"/>
        <w:jc w:val="center"/>
      </w:pPr>
      <w:r>
        <w:rPr>
          <w:i/>
          <w:color w:val="666666"/>
          <w:sz w:val="18"/>
        </w:rPr>
        <w:t>Figure 10. At 10 kHz, Amp A (pin 1) and the final output remain clean.</w:t>
      </w:r>
    </w:p>
    <w:p>
      <w:pPr>
        <w:keepNext/>
        <w:jc w:val="center"/>
      </w:pPr>
      <w:r>
        <w:drawing>
          <wp:inline xmlns:a="http://schemas.openxmlformats.org/drawingml/2006/main" xmlns:pic="http://schemas.openxmlformats.org/drawingml/2006/picture">
            <wp:extent cx="5715000" cy="2494731"/>
            <wp:docPr id="11" name="Picture 11"/>
            <wp:cNvGraphicFramePr>
              <a:graphicFrameLocks noChangeAspect="1"/>
            </wp:cNvGraphicFramePr>
            <a:graphic>
              <a:graphicData uri="http://schemas.openxmlformats.org/drawingml/2006/picture">
                <pic:pic>
                  <pic:nvPicPr>
                    <pic:cNvPr id="0" name="1c8964da-0484-461f-977a-6f4195d5ffae.png"/>
                    <pic:cNvPicPr/>
                  </pic:nvPicPr>
                  <pic:blipFill>
                    <a:blip r:embed="rId21"/>
                    <a:stretch>
                      <a:fillRect/>
                    </a:stretch>
                  </pic:blipFill>
                  <pic:spPr>
                    <a:xfrm>
                      <a:off x="0" y="0"/>
                      <a:ext cx="5715000" cy="2494731"/>
                    </a:xfrm>
                    <a:prstGeom prst="rect"/>
                  </pic:spPr>
                </pic:pic>
              </a:graphicData>
            </a:graphic>
          </wp:inline>
        </w:drawing>
      </w:r>
    </w:p>
    <w:p>
      <w:pPr>
        <w:spacing w:before="60" w:after="160"/>
        <w:jc w:val="center"/>
      </w:pPr>
      <w:r>
        <w:rPr>
          <w:i/>
          <w:color w:val="666666"/>
          <w:sz w:val="18"/>
        </w:rPr>
        <w:t>Figure 11. At 50 kHz, Amp A remains clean while the final output begins to deform.</w:t>
      </w:r>
    </w:p>
    <w:p>
      <w:pPr>
        <w:keepNext/>
        <w:jc w:val="center"/>
      </w:pPr>
      <w:r>
        <w:drawing>
          <wp:inline xmlns:a="http://schemas.openxmlformats.org/drawingml/2006/main" xmlns:pic="http://schemas.openxmlformats.org/drawingml/2006/picture">
            <wp:extent cx="5715000" cy="2491941"/>
            <wp:docPr id="12" name="Picture 12"/>
            <wp:cNvGraphicFramePr>
              <a:graphicFrameLocks noChangeAspect="1"/>
            </wp:cNvGraphicFramePr>
            <a:graphic>
              <a:graphicData uri="http://schemas.openxmlformats.org/drawingml/2006/picture">
                <pic:pic>
                  <pic:nvPicPr>
                    <pic:cNvPr id="0" name="bea15cfd-2663-4eb9-8f08-75d5956c46b4.png"/>
                    <pic:cNvPicPr/>
                  </pic:nvPicPr>
                  <pic:blipFill>
                    <a:blip r:embed="rId22"/>
                    <a:stretch>
                      <a:fillRect/>
                    </a:stretch>
                  </pic:blipFill>
                  <pic:spPr>
                    <a:xfrm>
                      <a:off x="0" y="0"/>
                      <a:ext cx="5715000" cy="2491941"/>
                    </a:xfrm>
                    <a:prstGeom prst="rect"/>
                  </pic:spPr>
                </pic:pic>
              </a:graphicData>
            </a:graphic>
          </wp:inline>
        </w:drawing>
      </w:r>
    </w:p>
    <w:p>
      <w:pPr>
        <w:spacing w:before="60" w:after="160"/>
        <w:jc w:val="center"/>
      </w:pPr>
      <w:r>
        <w:rPr>
          <w:i/>
          <w:color w:val="666666"/>
          <w:sz w:val="18"/>
        </w:rPr>
        <w:t>Figure 12. At 100 kHz, pin 14 and pin 7 share the same triangular distortion, localizing the limitation to Amp D.</w:t>
      </w:r>
    </w:p>
    <w:p>
      <w:pPr>
        <w:pStyle w:val="Heading1"/>
      </w:pPr>
      <w:r>
        <w:t>6. Amplitude-dependent 100 kHz behavior</w:t>
      </w:r>
    </w:p>
    <w:p>
      <w:r>
        <w:t>The 100 kHz limitation is not a simple fixed RC roll-off. Pin 1 remains reasonably sinusoidal and loses only about 2.3% between 10 and 100 kHz, while the output shape degrades strongly as requested amplitude increases. Pin 14 already contains the distortion and pin 7 reproduces it, identifying the high-gain Amp D stage—not the ISL23415, coupling network, final summing stage, or new power-supply capacitors—as the dominant bottleneck.</w:t>
      </w:r>
    </w:p>
    <w:tbl>
      <w:tblPr>
        <w:tblW w:type="auto" w:w="0"/>
        <w:jc w:val="center"/>
        <w:tblLayout w:type="fixed"/>
        <w:tblLook w:firstColumn="1" w:firstRow="1" w:lastColumn="0" w:lastRow="0" w:noHBand="0" w:noVBand="1" w:val="04A0"/>
      </w:tblPr>
      <w:tblGrid>
        <w:gridCol w:w="2448"/>
        <w:gridCol w:w="2448"/>
        <w:gridCol w:w="2448"/>
        <w:gridCol w:w="2448"/>
      </w:tblGrid>
      <w:tr>
        <w:trPr>
          <w:tblHeader w:val="true"/>
        </w:trPr>
        <w:tc>
          <w:tcPr>
            <w:tcW w:type="dxa" w:w="1944"/>
            <w:shd w:fill="E8EEF5"/>
            <w:vAlign w:val="center"/>
            <w:tcMar>
              <w:top w:w="80" w:type="dxa"/>
              <w:start w:w="120" w:type="dxa"/>
              <w:bottom w:w="80" w:type="dxa"/>
              <w:end w:w="120" w:type="dxa"/>
            </w:tcMar>
          </w:tcPr>
          <w:p>
            <w:r>
              <w:rPr>
                <w:b/>
                <w:sz w:val="18"/>
              </w:rPr>
              <w:t>100 kHz request</w:t>
            </w:r>
          </w:p>
        </w:tc>
        <w:tc>
          <w:tcPr>
            <w:tcW w:type="dxa" w:w="1656"/>
            <w:shd w:fill="E8EEF5"/>
            <w:vAlign w:val="center"/>
            <w:tcMar>
              <w:top w:w="80" w:type="dxa"/>
              <w:start w:w="120" w:type="dxa"/>
              <w:bottom w:w="80" w:type="dxa"/>
              <w:end w:w="120" w:type="dxa"/>
            </w:tcMar>
          </w:tcPr>
          <w:p>
            <w:r>
              <w:rPr>
                <w:b/>
                <w:sz w:val="18"/>
              </w:rPr>
              <w:t>Pin 7</w:t>
            </w:r>
          </w:p>
        </w:tc>
        <w:tc>
          <w:tcPr>
            <w:tcW w:type="dxa" w:w="1656"/>
            <w:shd w:fill="E8EEF5"/>
            <w:vAlign w:val="center"/>
            <w:tcMar>
              <w:top w:w="80" w:type="dxa"/>
              <w:start w:w="120" w:type="dxa"/>
              <w:bottom w:w="80" w:type="dxa"/>
              <w:end w:w="120" w:type="dxa"/>
            </w:tcMar>
          </w:tcPr>
          <w:p>
            <w:r>
              <w:rPr>
                <w:b/>
                <w:sz w:val="18"/>
              </w:rPr>
              <w:t>Pin 14</w:t>
            </w:r>
          </w:p>
        </w:tc>
        <w:tc>
          <w:tcPr>
            <w:tcW w:type="dxa" w:w="4104"/>
            <w:shd w:fill="E8EEF5"/>
            <w:vAlign w:val="center"/>
            <w:tcMar>
              <w:top w:w="80" w:type="dxa"/>
              <w:start w:w="120" w:type="dxa"/>
              <w:bottom w:w="80" w:type="dxa"/>
              <w:end w:w="120" w:type="dxa"/>
            </w:tcMar>
          </w:tcPr>
          <w:p>
            <w:r>
              <w:rPr>
                <w:b/>
                <w:sz w:val="18"/>
              </w:rPr>
              <w:t>Waveform</w:t>
            </w:r>
          </w:p>
        </w:tc>
      </w:tr>
      <w:tr>
        <w:tc>
          <w:tcPr>
            <w:tcW w:type="dxa" w:w="1944"/>
            <w:vAlign w:val="center"/>
            <w:tcMar>
              <w:top w:w="80" w:type="dxa"/>
              <w:start w:w="120" w:type="dxa"/>
              <w:bottom w:w="80" w:type="dxa"/>
              <w:end w:w="120" w:type="dxa"/>
            </w:tcMar>
          </w:tcPr>
          <w:p>
            <w:pPr>
              <w:spacing w:after="0"/>
            </w:pPr>
            <w:r>
              <w:rPr>
                <w:sz w:val="18"/>
              </w:rPr>
              <w:t>1 Vpp</w:t>
            </w:r>
          </w:p>
        </w:tc>
        <w:tc>
          <w:tcPr>
            <w:tcW w:type="dxa" w:w="1656"/>
            <w:vAlign w:val="center"/>
            <w:tcMar>
              <w:top w:w="80" w:type="dxa"/>
              <w:start w:w="120" w:type="dxa"/>
              <w:bottom w:w="80" w:type="dxa"/>
              <w:end w:w="120" w:type="dxa"/>
            </w:tcMar>
          </w:tcPr>
          <w:p>
            <w:pPr>
              <w:spacing w:after="0"/>
            </w:pPr>
            <w:r>
              <w:rPr>
                <w:sz w:val="18"/>
              </w:rPr>
              <w:t>0.902 Vpp</w:t>
            </w:r>
          </w:p>
        </w:tc>
        <w:tc>
          <w:tcPr>
            <w:tcW w:type="dxa" w:w="1656"/>
            <w:vAlign w:val="center"/>
            <w:tcMar>
              <w:top w:w="80" w:type="dxa"/>
              <w:start w:w="120" w:type="dxa"/>
              <w:bottom w:w="80" w:type="dxa"/>
              <w:end w:w="120" w:type="dxa"/>
            </w:tcMar>
          </w:tcPr>
          <w:p>
            <w:pPr>
              <w:spacing w:after="0"/>
            </w:pPr>
            <w:r>
              <w:rPr>
                <w:sz w:val="18"/>
              </w:rPr>
              <w:t>0.896 Vpp</w:t>
            </w:r>
          </w:p>
        </w:tc>
        <w:tc>
          <w:tcPr>
            <w:tcW w:type="dxa" w:w="4104"/>
            <w:vAlign w:val="center"/>
            <w:tcMar>
              <w:top w:w="80" w:type="dxa"/>
              <w:start w:w="120" w:type="dxa"/>
              <w:bottom w:w="80" w:type="dxa"/>
              <w:end w:w="120" w:type="dxa"/>
            </w:tcMar>
          </w:tcPr>
          <w:p>
            <w:pPr>
              <w:spacing w:after="0"/>
            </w:pPr>
            <w:r>
              <w:rPr>
                <w:sz w:val="18"/>
              </w:rPr>
              <w:t>Convincingly sinusoidal</w:t>
            </w:r>
          </w:p>
        </w:tc>
      </w:tr>
      <w:tr>
        <w:tc>
          <w:tcPr>
            <w:tcW w:type="dxa" w:w="1944"/>
            <w:vAlign w:val="center"/>
            <w:tcMar>
              <w:top w:w="80" w:type="dxa"/>
              <w:start w:w="120" w:type="dxa"/>
              <w:bottom w:w="80" w:type="dxa"/>
              <w:end w:w="120" w:type="dxa"/>
            </w:tcMar>
          </w:tcPr>
          <w:p>
            <w:pPr>
              <w:spacing w:after="0"/>
            </w:pPr>
            <w:r>
              <w:rPr>
                <w:sz w:val="18"/>
              </w:rPr>
              <w:t>2 Vpp</w:t>
            </w:r>
          </w:p>
        </w:tc>
        <w:tc>
          <w:tcPr>
            <w:tcW w:type="dxa" w:w="1656"/>
            <w:vAlign w:val="center"/>
            <w:tcMar>
              <w:top w:w="80" w:type="dxa"/>
              <w:start w:w="120" w:type="dxa"/>
              <w:bottom w:w="80" w:type="dxa"/>
              <w:end w:w="120" w:type="dxa"/>
            </w:tcMar>
          </w:tcPr>
          <w:p>
            <w:pPr>
              <w:spacing w:after="0"/>
            </w:pPr>
            <w:r>
              <w:rPr>
                <w:sz w:val="18"/>
              </w:rPr>
              <w:t>1.758 Vpp</w:t>
            </w:r>
          </w:p>
        </w:tc>
        <w:tc>
          <w:tcPr>
            <w:tcW w:type="dxa" w:w="1656"/>
            <w:vAlign w:val="center"/>
            <w:tcMar>
              <w:top w:w="80" w:type="dxa"/>
              <w:start w:w="120" w:type="dxa"/>
              <w:bottom w:w="80" w:type="dxa"/>
              <w:end w:w="120" w:type="dxa"/>
            </w:tcMar>
          </w:tcPr>
          <w:p>
            <w:pPr>
              <w:spacing w:after="0"/>
            </w:pPr>
            <w:r>
              <w:rPr>
                <w:sz w:val="18"/>
              </w:rPr>
              <w:t>1.746 Vpp</w:t>
            </w:r>
          </w:p>
        </w:tc>
        <w:tc>
          <w:tcPr>
            <w:tcW w:type="dxa" w:w="4104"/>
            <w:vAlign w:val="center"/>
            <w:tcMar>
              <w:top w:w="80" w:type="dxa"/>
              <w:start w:w="120" w:type="dxa"/>
              <w:bottom w:w="80" w:type="dxa"/>
              <w:end w:w="120" w:type="dxa"/>
            </w:tcMar>
          </w:tcPr>
          <w:p>
            <w:pPr>
              <w:spacing w:after="0"/>
            </w:pPr>
            <w:r>
              <w:rPr>
                <w:sz w:val="18"/>
              </w:rPr>
              <w:t>Noticeably more triangular</w:t>
            </w:r>
          </w:p>
        </w:tc>
      </w:tr>
      <w:tr>
        <w:tc>
          <w:tcPr>
            <w:tcW w:type="dxa" w:w="1944"/>
            <w:vAlign w:val="center"/>
            <w:tcMar>
              <w:top w:w="80" w:type="dxa"/>
              <w:start w:w="120" w:type="dxa"/>
              <w:bottom w:w="80" w:type="dxa"/>
              <w:end w:w="120" w:type="dxa"/>
            </w:tcMar>
          </w:tcPr>
          <w:p>
            <w:pPr>
              <w:spacing w:after="0"/>
            </w:pPr>
            <w:r>
              <w:rPr>
                <w:sz w:val="18"/>
              </w:rPr>
              <w:t>4 Vpp</w:t>
            </w:r>
          </w:p>
        </w:tc>
        <w:tc>
          <w:tcPr>
            <w:tcW w:type="dxa" w:w="1656"/>
            <w:vAlign w:val="center"/>
            <w:tcMar>
              <w:top w:w="80" w:type="dxa"/>
              <w:start w:w="120" w:type="dxa"/>
              <w:bottom w:w="80" w:type="dxa"/>
              <w:end w:w="120" w:type="dxa"/>
            </w:tcMar>
          </w:tcPr>
          <w:p>
            <w:pPr>
              <w:spacing w:after="0"/>
            </w:pPr>
            <w:r>
              <w:rPr>
                <w:sz w:val="18"/>
              </w:rPr>
              <w:t>2.370–2.374 Vpp</w:t>
            </w:r>
          </w:p>
        </w:tc>
        <w:tc>
          <w:tcPr>
            <w:tcW w:type="dxa" w:w="1656"/>
            <w:vAlign w:val="center"/>
            <w:tcMar>
              <w:top w:w="80" w:type="dxa"/>
              <w:start w:w="120" w:type="dxa"/>
              <w:bottom w:w="80" w:type="dxa"/>
              <w:end w:w="120" w:type="dxa"/>
            </w:tcMar>
          </w:tcPr>
          <w:p>
            <w:pPr>
              <w:spacing w:after="0"/>
            </w:pPr>
            <w:r>
              <w:rPr>
                <w:sz w:val="18"/>
              </w:rPr>
              <w:t>2.309 Vpp</w:t>
            </w:r>
          </w:p>
        </w:tc>
        <w:tc>
          <w:tcPr>
            <w:tcW w:type="dxa" w:w="4104"/>
            <w:vAlign w:val="center"/>
            <w:tcMar>
              <w:top w:w="80" w:type="dxa"/>
              <w:start w:w="120" w:type="dxa"/>
              <w:bottom w:w="80" w:type="dxa"/>
              <w:end w:w="120" w:type="dxa"/>
            </w:tcMar>
          </w:tcPr>
          <w:p>
            <w:pPr>
              <w:spacing w:after="0"/>
            </w:pPr>
            <w:r>
              <w:rPr>
                <w:sz w:val="18"/>
              </w:rPr>
              <w:t>Severely triangular</w:t>
            </w:r>
          </w:p>
        </w:tc>
      </w:tr>
    </w:tbl>
    <w:p>
      <w:pPr>
        <w:spacing w:after="0"/>
      </w:pPr>
    </w:p>
    <w:p>
      <w:pPr>
        <w:keepNext/>
        <w:jc w:val="center"/>
      </w:pPr>
      <w:r>
        <w:drawing>
          <wp:inline xmlns:a="http://schemas.openxmlformats.org/drawingml/2006/main" xmlns:pic="http://schemas.openxmlformats.org/drawingml/2006/picture">
            <wp:extent cx="5715000" cy="2486360"/>
            <wp:docPr id="13" name="Picture 13"/>
            <wp:cNvGraphicFramePr>
              <a:graphicFrameLocks noChangeAspect="1"/>
            </wp:cNvGraphicFramePr>
            <a:graphic>
              <a:graphicData uri="http://schemas.openxmlformats.org/drawingml/2006/picture">
                <pic:pic>
                  <pic:nvPicPr>
                    <pic:cNvPr id="0" name="cb44b58c-88ae-4daf-95da-8685831f7cfd.png"/>
                    <pic:cNvPicPr/>
                  </pic:nvPicPr>
                  <pic:blipFill>
                    <a:blip r:embed="rId23"/>
                    <a:stretch>
                      <a:fillRect/>
                    </a:stretch>
                  </pic:blipFill>
                  <pic:spPr>
                    <a:xfrm>
                      <a:off x="0" y="0"/>
                      <a:ext cx="5715000" cy="2486360"/>
                    </a:xfrm>
                    <a:prstGeom prst="rect"/>
                  </pic:spPr>
                </pic:pic>
              </a:graphicData>
            </a:graphic>
          </wp:inline>
        </w:drawing>
      </w:r>
    </w:p>
    <w:p>
      <w:pPr>
        <w:spacing w:before="60" w:after="160"/>
        <w:jc w:val="center"/>
      </w:pPr>
      <w:r>
        <w:rPr>
          <w:i/>
          <w:color w:val="666666"/>
          <w:sz w:val="18"/>
        </w:rPr>
        <w:t>Figure 13. At 100 kHz and 1 Vpp requested, pin 14 and pin 7 remain reasonably sinusoidal.</w:t>
      </w:r>
    </w:p>
    <w:p>
      <w:pPr>
        <w:keepNext/>
        <w:jc w:val="center"/>
      </w:pPr>
      <w:r>
        <w:drawing>
          <wp:inline xmlns:a="http://schemas.openxmlformats.org/drawingml/2006/main" xmlns:pic="http://schemas.openxmlformats.org/drawingml/2006/picture">
            <wp:extent cx="5715000" cy="2490366"/>
            <wp:docPr id="14" name="Picture 14"/>
            <wp:cNvGraphicFramePr>
              <a:graphicFrameLocks noChangeAspect="1"/>
            </wp:cNvGraphicFramePr>
            <a:graphic>
              <a:graphicData uri="http://schemas.openxmlformats.org/drawingml/2006/picture">
                <pic:pic>
                  <pic:nvPicPr>
                    <pic:cNvPr id="0" name="1cf21811-1cbe-48ea-83c7-79b31b6e79bb.png"/>
                    <pic:cNvPicPr/>
                  </pic:nvPicPr>
                  <pic:blipFill>
                    <a:blip r:embed="rId24"/>
                    <a:stretch>
                      <a:fillRect/>
                    </a:stretch>
                  </pic:blipFill>
                  <pic:spPr>
                    <a:xfrm>
                      <a:off x="0" y="0"/>
                      <a:ext cx="5715000" cy="2490366"/>
                    </a:xfrm>
                    <a:prstGeom prst="rect"/>
                  </pic:spPr>
                </pic:pic>
              </a:graphicData>
            </a:graphic>
          </wp:inline>
        </w:drawing>
      </w:r>
    </w:p>
    <w:p>
      <w:pPr>
        <w:spacing w:before="60" w:after="160"/>
        <w:jc w:val="center"/>
      </w:pPr>
      <w:r>
        <w:rPr>
          <w:i/>
          <w:color w:val="666666"/>
          <w:sz w:val="18"/>
        </w:rPr>
        <w:t>Figure 14. At 100 kHz and 2 Vpp requested, the same nodes become visibly triangular.</w:t>
      </w:r>
    </w:p>
    <w:p>
      <w:pPr>
        <w:pStyle w:val="Heading1"/>
      </w:pPr>
      <w:r>
        <w:t>7. Frozen prototype specification</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2880"/>
            <w:shd w:fill="E8EEF5"/>
            <w:vAlign w:val="center"/>
            <w:tcMar>
              <w:top w:w="80" w:type="dxa"/>
              <w:start w:w="120" w:type="dxa"/>
              <w:bottom w:w="80" w:type="dxa"/>
              <w:end w:w="120" w:type="dxa"/>
            </w:tcMar>
          </w:tcPr>
          <w:p>
            <w:r>
              <w:rPr>
                <w:b/>
                <w:sz w:val="18"/>
              </w:rPr>
              <w:t>Parameter</w:t>
            </w:r>
          </w:p>
        </w:tc>
        <w:tc>
          <w:tcPr>
            <w:tcW w:type="dxa" w:w="6480"/>
            <w:shd w:fill="E8EEF5"/>
            <w:vAlign w:val="center"/>
            <w:tcMar>
              <w:top w:w="80" w:type="dxa"/>
              <w:start w:w="120" w:type="dxa"/>
              <w:bottom w:w="80" w:type="dxa"/>
              <w:end w:w="120" w:type="dxa"/>
            </w:tcMar>
          </w:tcPr>
          <w:p>
            <w:r>
              <w:rPr>
                <w:b/>
                <w:sz w:val="18"/>
              </w:rPr>
              <w:t>Recommended characterization</w:t>
            </w:r>
          </w:p>
        </w:tc>
      </w:tr>
      <w:tr>
        <w:tc>
          <w:tcPr>
            <w:tcW w:type="dxa" w:w="2880"/>
            <w:vAlign w:val="center"/>
            <w:tcMar>
              <w:top w:w="80" w:type="dxa"/>
              <w:start w:w="120" w:type="dxa"/>
              <w:bottom w:w="80" w:type="dxa"/>
              <w:end w:w="120" w:type="dxa"/>
            </w:tcMar>
          </w:tcPr>
          <w:p>
            <w:pPr>
              <w:spacing w:after="0"/>
            </w:pPr>
            <w:r>
              <w:rPr>
                <w:sz w:val="18"/>
              </w:rPr>
              <w:t>Waveform covered by this report</w:t>
            </w:r>
          </w:p>
        </w:tc>
        <w:tc>
          <w:tcPr>
            <w:tcW w:type="dxa" w:w="6480"/>
            <w:vAlign w:val="center"/>
            <w:tcMar>
              <w:top w:w="80" w:type="dxa"/>
              <w:start w:w="120" w:type="dxa"/>
              <w:bottom w:w="80" w:type="dxa"/>
              <w:end w:w="120" w:type="dxa"/>
            </w:tcMar>
          </w:tcPr>
          <w:p>
            <w:pPr>
              <w:spacing w:after="0"/>
            </w:pPr>
            <w:r>
              <w:rPr>
                <w:sz w:val="18"/>
              </w:rPr>
              <w:t>Sine</w:t>
            </w:r>
          </w:p>
        </w:tc>
      </w:tr>
      <w:tr>
        <w:tc>
          <w:tcPr>
            <w:tcW w:type="dxa" w:w="2880"/>
            <w:vAlign w:val="center"/>
            <w:tcMar>
              <w:top w:w="80" w:type="dxa"/>
              <w:start w:w="120" w:type="dxa"/>
              <w:bottom w:w="80" w:type="dxa"/>
              <w:end w:w="120" w:type="dxa"/>
            </w:tcMar>
          </w:tcPr>
          <w:p>
            <w:pPr>
              <w:spacing w:after="0"/>
            </w:pPr>
            <w:r>
              <w:rPr>
                <w:sz w:val="18"/>
              </w:rPr>
              <w:t>Calibrated normal amplitude</w:t>
            </w:r>
          </w:p>
        </w:tc>
        <w:tc>
          <w:tcPr>
            <w:tcW w:type="dxa" w:w="6480"/>
            <w:vAlign w:val="center"/>
            <w:tcMar>
              <w:top w:w="80" w:type="dxa"/>
              <w:start w:w="120" w:type="dxa"/>
              <w:bottom w:w="80" w:type="dxa"/>
              <w:end w:w="120" w:type="dxa"/>
            </w:tcMar>
          </w:tcPr>
          <w:p>
            <w:pPr>
              <w:spacing w:after="0"/>
            </w:pPr>
            <w:r>
              <w:rPr>
                <w:sz w:val="18"/>
              </w:rPr>
              <w:t>1–9 Vpp</w:t>
            </w:r>
          </w:p>
        </w:tc>
      </w:tr>
      <w:tr>
        <w:tc>
          <w:tcPr>
            <w:tcW w:type="dxa" w:w="2880"/>
            <w:vAlign w:val="center"/>
            <w:tcMar>
              <w:top w:w="80" w:type="dxa"/>
              <w:start w:w="120" w:type="dxa"/>
              <w:bottom w:w="80" w:type="dxa"/>
              <w:end w:w="120" w:type="dxa"/>
            </w:tcMar>
          </w:tcPr>
          <w:p>
            <w:pPr>
              <w:spacing w:after="0"/>
            </w:pPr>
            <w:r>
              <w:rPr>
                <w:sz w:val="18"/>
              </w:rPr>
              <w:t>Recommended zero-offset ceiling</w:t>
            </w:r>
          </w:p>
        </w:tc>
        <w:tc>
          <w:tcPr>
            <w:tcW w:type="dxa" w:w="6480"/>
            <w:vAlign w:val="center"/>
            <w:tcMar>
              <w:top w:w="80" w:type="dxa"/>
              <w:start w:w="120" w:type="dxa"/>
              <w:bottom w:w="80" w:type="dxa"/>
              <w:end w:w="120" w:type="dxa"/>
            </w:tcMar>
          </w:tcPr>
          <w:p>
            <w:pPr>
              <w:spacing w:after="0"/>
            </w:pPr>
            <w:r>
              <w:rPr>
                <w:sz w:val="18"/>
              </w:rPr>
              <w:t>≈9.5 Vpp</w:t>
            </w:r>
          </w:p>
        </w:tc>
      </w:tr>
      <w:tr>
        <w:tc>
          <w:tcPr>
            <w:tcW w:type="dxa" w:w="2880"/>
            <w:vAlign w:val="center"/>
            <w:tcMar>
              <w:top w:w="80" w:type="dxa"/>
              <w:start w:w="120" w:type="dxa"/>
              <w:bottom w:w="80" w:type="dxa"/>
              <w:end w:w="120" w:type="dxa"/>
            </w:tcMar>
          </w:tcPr>
          <w:p>
            <w:pPr>
              <w:spacing w:after="0"/>
            </w:pPr>
            <w:r>
              <w:rPr>
                <w:sz w:val="18"/>
              </w:rPr>
              <w:t>Experimental upper region</w:t>
            </w:r>
          </w:p>
        </w:tc>
        <w:tc>
          <w:tcPr>
            <w:tcW w:type="dxa" w:w="6480"/>
            <w:vAlign w:val="center"/>
            <w:tcMar>
              <w:top w:w="80" w:type="dxa"/>
              <w:start w:w="120" w:type="dxa"/>
              <w:bottom w:w="80" w:type="dxa"/>
              <w:end w:w="120" w:type="dxa"/>
            </w:tcMar>
          </w:tcPr>
          <w:p>
            <w:pPr>
              <w:spacing w:after="0"/>
            </w:pPr>
            <w:r>
              <w:rPr>
                <w:sz w:val="18"/>
              </w:rPr>
              <w:t>Above ≈9.5 Vpp; compression/clipping expected</w:t>
            </w:r>
          </w:p>
        </w:tc>
      </w:tr>
      <w:tr>
        <w:tc>
          <w:tcPr>
            <w:tcW w:type="dxa" w:w="2880"/>
            <w:vAlign w:val="center"/>
            <w:tcMar>
              <w:top w:w="80" w:type="dxa"/>
              <w:start w:w="120" w:type="dxa"/>
              <w:bottom w:w="80" w:type="dxa"/>
              <w:end w:w="120" w:type="dxa"/>
            </w:tcMar>
          </w:tcPr>
          <w:p>
            <w:pPr>
              <w:spacing w:after="0"/>
            </w:pPr>
            <w:r>
              <w:rPr>
                <w:sz w:val="18"/>
              </w:rPr>
              <w:t>Mute behavior</w:t>
            </w:r>
          </w:p>
        </w:tc>
        <w:tc>
          <w:tcPr>
            <w:tcW w:type="dxa" w:w="6480"/>
            <w:vAlign w:val="center"/>
            <w:tcMar>
              <w:top w:w="80" w:type="dxa"/>
              <w:start w:w="120" w:type="dxa"/>
              <w:bottom w:w="80" w:type="dxa"/>
              <w:end w:w="120" w:type="dxa"/>
            </w:tcMar>
          </w:tcPr>
          <w:p>
            <w:pPr>
              <w:spacing w:after="0"/>
            </w:pPr>
            <w:r>
              <w:rPr>
                <w:sz w:val="18"/>
              </w:rPr>
              <w:t>Use OUTPUT OFF; 0 Vpp command is not a true mute</w:t>
            </w:r>
          </w:p>
        </w:tc>
      </w:tr>
      <w:tr>
        <w:tc>
          <w:tcPr>
            <w:tcW w:type="dxa" w:w="2880"/>
            <w:vAlign w:val="center"/>
            <w:tcMar>
              <w:top w:w="80" w:type="dxa"/>
              <w:start w:w="120" w:type="dxa"/>
              <w:bottom w:w="80" w:type="dxa"/>
              <w:end w:w="120" w:type="dxa"/>
            </w:tcMar>
          </w:tcPr>
          <w:p>
            <w:pPr>
              <w:spacing w:after="0"/>
            </w:pPr>
            <w:r>
              <w:rPr>
                <w:sz w:val="18"/>
              </w:rPr>
              <w:t>Usable output envelope</w:t>
            </w:r>
          </w:p>
        </w:tc>
        <w:tc>
          <w:tcPr>
            <w:tcW w:type="dxa" w:w="6480"/>
            <w:vAlign w:val="center"/>
            <w:tcMar>
              <w:top w:w="80" w:type="dxa"/>
              <w:start w:w="120" w:type="dxa"/>
              <w:bottom w:w="80" w:type="dxa"/>
              <w:end w:w="120" w:type="dxa"/>
            </w:tcMar>
          </w:tcPr>
          <w:p>
            <w:pPr>
              <w:spacing w:after="0"/>
            </w:pPr>
            <w:r>
              <w:rPr>
                <w:sz w:val="18"/>
              </w:rPr>
              <w:t>Vpp/2 + |offset| ≤ approximately 4.7 V</w:t>
            </w:r>
          </w:p>
        </w:tc>
      </w:tr>
      <w:tr>
        <w:tc>
          <w:tcPr>
            <w:tcW w:type="dxa" w:w="2880"/>
            <w:vAlign w:val="center"/>
            <w:tcMar>
              <w:top w:w="80" w:type="dxa"/>
              <w:start w:w="120" w:type="dxa"/>
              <w:bottom w:w="80" w:type="dxa"/>
              <w:end w:w="120" w:type="dxa"/>
            </w:tcMar>
          </w:tcPr>
          <w:p>
            <w:pPr>
              <w:spacing w:after="0"/>
            </w:pPr>
            <w:r>
              <w:rPr>
                <w:sz w:val="18"/>
              </w:rPr>
              <w:t>Recommended sine bandwidth</w:t>
            </w:r>
          </w:p>
        </w:tc>
        <w:tc>
          <w:tcPr>
            <w:tcW w:type="dxa" w:w="6480"/>
            <w:vAlign w:val="center"/>
            <w:tcMar>
              <w:top w:w="80" w:type="dxa"/>
              <w:start w:w="120" w:type="dxa"/>
              <w:bottom w:w="80" w:type="dxa"/>
              <w:end w:w="120" w:type="dxa"/>
            </w:tcMar>
          </w:tcPr>
          <w:p>
            <w:pPr>
              <w:spacing w:after="0"/>
            </w:pPr>
            <w:r>
              <w:rPr>
                <w:sz w:val="18"/>
              </w:rPr>
              <w:t>Full calibrated amplitude through ≈10 kHz</w:t>
            </w:r>
          </w:p>
        </w:tc>
      </w:tr>
      <w:tr>
        <w:tc>
          <w:tcPr>
            <w:tcW w:type="dxa" w:w="2880"/>
            <w:vAlign w:val="center"/>
            <w:tcMar>
              <w:top w:w="80" w:type="dxa"/>
              <w:start w:w="120" w:type="dxa"/>
              <w:bottom w:w="80" w:type="dxa"/>
              <w:end w:w="120" w:type="dxa"/>
            </w:tcMar>
          </w:tcPr>
          <w:p>
            <w:pPr>
              <w:spacing w:after="0"/>
            </w:pPr>
            <w:r>
              <w:rPr>
                <w:sz w:val="18"/>
              </w:rPr>
              <w:t>Extended sine operation</w:t>
            </w:r>
          </w:p>
        </w:tc>
        <w:tc>
          <w:tcPr>
            <w:tcW w:type="dxa" w:w="6480"/>
            <w:vAlign w:val="center"/>
            <w:tcMar>
              <w:top w:w="80" w:type="dxa"/>
              <w:start w:w="120" w:type="dxa"/>
              <w:bottom w:w="80" w:type="dxa"/>
              <w:end w:w="120" w:type="dxa"/>
            </w:tcMar>
          </w:tcPr>
          <w:p>
            <w:pPr>
              <w:spacing w:after="0"/>
            </w:pPr>
            <w:r>
              <w:rPr>
                <w:sz w:val="18"/>
              </w:rPr>
              <w:t>Around 50 kHz with degradation; at 100 kHz use ≈1 Vpp if sinusoidal shape matters</w:t>
            </w:r>
          </w:p>
        </w:tc>
      </w:tr>
      <w:tr>
        <w:tc>
          <w:tcPr>
            <w:tcW w:type="dxa" w:w="2880"/>
            <w:vAlign w:val="center"/>
            <w:tcMar>
              <w:top w:w="80" w:type="dxa"/>
              <w:start w:w="120" w:type="dxa"/>
              <w:bottom w:w="80" w:type="dxa"/>
              <w:end w:w="120" w:type="dxa"/>
            </w:tcMar>
          </w:tcPr>
          <w:p>
            <w:pPr>
              <w:spacing w:after="0"/>
            </w:pPr>
            <w:r>
              <w:rPr>
                <w:sz w:val="18"/>
              </w:rPr>
              <w:t>High-frequency limitation</w:t>
            </w:r>
          </w:p>
        </w:tc>
        <w:tc>
          <w:tcPr>
            <w:tcW w:type="dxa" w:w="6480"/>
            <w:vAlign w:val="center"/>
            <w:tcMar>
              <w:top w:w="80" w:type="dxa"/>
              <w:start w:w="120" w:type="dxa"/>
              <w:bottom w:w="80" w:type="dxa"/>
              <w:end w:w="120" w:type="dxa"/>
            </w:tcMar>
          </w:tcPr>
          <w:p>
            <w:pPr>
              <w:spacing w:after="0"/>
            </w:pPr>
            <w:r>
              <w:rPr>
                <w:sz w:val="18"/>
              </w:rPr>
              <w:t>TLV9154 Amp D high-gain stage; amplitude-dependent large-signal/loop-performance limit</w:t>
            </w:r>
          </w:p>
        </w:tc>
      </w:tr>
      <w:tr>
        <w:tc>
          <w:tcPr>
            <w:tcW w:type="dxa" w:w="2880"/>
            <w:vAlign w:val="center"/>
            <w:tcMar>
              <w:top w:w="80" w:type="dxa"/>
              <w:start w:w="120" w:type="dxa"/>
              <w:bottom w:w="80" w:type="dxa"/>
              <w:end w:w="120" w:type="dxa"/>
            </w:tcMar>
          </w:tcPr>
          <w:p>
            <w:pPr>
              <w:spacing w:after="0"/>
            </w:pPr>
            <w:r>
              <w:rPr>
                <w:sz w:val="18"/>
              </w:rPr>
              <w:t>Recommended load</w:t>
            </w:r>
          </w:p>
        </w:tc>
        <w:tc>
          <w:tcPr>
            <w:tcW w:type="dxa" w:w="6480"/>
            <w:vAlign w:val="center"/>
            <w:tcMar>
              <w:top w:w="80" w:type="dxa"/>
              <w:start w:w="120" w:type="dxa"/>
              <w:bottom w:w="80" w:type="dxa"/>
              <w:end w:w="120" w:type="dxa"/>
            </w:tcMar>
          </w:tcPr>
          <w:p>
            <w:pPr>
              <w:spacing w:after="0"/>
            </w:pPr>
            <w:r>
              <w:rPr>
                <w:sz w:val="18"/>
              </w:rPr>
              <w:t>≥10 kΩ based on prior load characterization</w:t>
            </w:r>
          </w:p>
        </w:tc>
      </w:tr>
      <w:tr>
        <w:tc>
          <w:tcPr>
            <w:tcW w:type="dxa" w:w="2880"/>
            <w:vAlign w:val="center"/>
            <w:tcMar>
              <w:top w:w="80" w:type="dxa"/>
              <w:start w:w="120" w:type="dxa"/>
              <w:bottom w:w="80" w:type="dxa"/>
              <w:end w:w="120" w:type="dxa"/>
            </w:tcMar>
          </w:tcPr>
          <w:p>
            <w:pPr>
              <w:spacing w:after="0"/>
            </w:pPr>
            <w:r>
              <w:rPr>
                <w:sz w:val="18"/>
              </w:rPr>
              <w:t>TMA input filter</w:t>
            </w:r>
          </w:p>
        </w:tc>
        <w:tc>
          <w:tcPr>
            <w:tcW w:type="dxa" w:w="6480"/>
            <w:vAlign w:val="center"/>
            <w:tcMar>
              <w:top w:w="80" w:type="dxa"/>
              <w:start w:w="120" w:type="dxa"/>
              <w:bottom w:w="80" w:type="dxa"/>
              <w:end w:w="120" w:type="dxa"/>
            </w:tcMar>
          </w:tcPr>
          <w:p>
            <w:pPr>
              <w:spacing w:after="0"/>
            </w:pPr>
            <w:r>
              <w:rPr>
                <w:sz w:val="18"/>
              </w:rPr>
              <w:t>4.7 Ω + 47 µF || 100 nF; retain</w:t>
            </w:r>
          </w:p>
        </w:tc>
      </w:tr>
      <w:tr>
        <w:tc>
          <w:tcPr>
            <w:tcW w:type="dxa" w:w="2880"/>
            <w:vAlign w:val="center"/>
            <w:tcMar>
              <w:top w:w="80" w:type="dxa"/>
              <w:start w:w="120" w:type="dxa"/>
              <w:bottom w:w="80" w:type="dxa"/>
              <w:end w:w="120" w:type="dxa"/>
            </w:tcMar>
          </w:tcPr>
          <w:p>
            <w:pPr>
              <w:spacing w:after="0"/>
            </w:pPr>
            <w:r>
              <w:rPr>
                <w:sz w:val="18"/>
              </w:rPr>
              <w:t>Temporary-controller noise</w:t>
            </w:r>
          </w:p>
        </w:tc>
        <w:tc>
          <w:tcPr>
            <w:tcW w:type="dxa" w:w="6480"/>
            <w:vAlign w:val="center"/>
            <w:tcMar>
              <w:top w:w="80" w:type="dxa"/>
              <w:start w:w="120" w:type="dxa"/>
              <w:bottom w:w="80" w:type="dxa"/>
              <w:end w:w="120" w:type="dxa"/>
            </w:tcMar>
          </w:tcPr>
          <w:p>
            <w:pPr>
              <w:spacing w:after="0"/>
            </w:pPr>
            <w:r>
              <w:rPr>
                <w:sz w:val="18"/>
              </w:rPr>
              <w:t>ESP32 BLE transients documented but not optimized; defer to nRF52832 base integration</w:t>
            </w:r>
          </w:p>
        </w:tc>
      </w:tr>
    </w:tbl>
    <w:p>
      <w:pPr>
        <w:spacing w:after="0"/>
      </w:pPr>
    </w:p>
    <w:p>
      <w:pPr>
        <w:pStyle w:val="Heading1"/>
      </w:pPr>
      <w:r>
        <w:t>8. Implications for the future modular cartridge</w:t>
      </w:r>
    </w:p>
    <w:p>
      <w:pPr>
        <w:pStyle w:val="ListBullet"/>
        <w:spacing w:after="80"/>
      </w:pPr>
      <w:r>
        <w:t>Preserve the converter input filter and use a short, low-impedance return to the base-unit power-entry/star point.</w:t>
      </w:r>
    </w:p>
    <w:p>
      <w:pPr>
        <w:pStyle w:val="ListBullet"/>
        <w:spacing w:after="80"/>
      </w:pPr>
      <w:r>
        <w:t>Separate the nRF52832 digital supply branch from the TMA/analog branch and place local bulk plus 100 nF decoupling at each branch.</w:t>
      </w:r>
    </w:p>
    <w:p>
      <w:pPr>
        <w:pStyle w:val="ListBullet"/>
        <w:spacing w:after="80"/>
      </w:pPr>
      <w:r>
        <w:t>Keep SPI traces and the BLE antenna away from Amp D and the high-impedance amplitude-control nodes.</w:t>
      </w:r>
    </w:p>
    <w:p>
      <w:pPr>
        <w:pStyle w:val="ListBullet"/>
        <w:spacing w:after="80"/>
      </w:pPr>
      <w:r>
        <w:t>If a future cartridge requires clean multi-volt output above 10–50 kHz, redesign Amp D for lower per-stage gain, higher large-signal bandwidth, and controlled PCB layout.</w:t>
      </w:r>
    </w:p>
    <w:p>
      <w:pPr>
        <w:pStyle w:val="ListBullet"/>
        <w:spacing w:after="80"/>
      </w:pPr>
      <w:r>
        <w:t>Carry forward the measured calibration table, but recalibrate after PCB layout, component tolerance changes, and connector/load changes.</w:t>
      </w:r>
    </w:p>
    <w:p>
      <w:pPr>
        <w:pStyle w:val="ListBullet"/>
        <w:spacing w:after="80"/>
      </w:pPr>
      <w:r>
        <w:t>Treat 10 Vpp and out-of-envelope offset combinations as user-visible experimental over-range settings, not rated output.</w:t>
      </w:r>
    </w:p>
    <w:p>
      <w:pPr>
        <w:pStyle w:val="Heading1"/>
      </w:pPr>
      <w:r>
        <w:t>9. Remaining work deliberately deferred</w:t>
      </w:r>
    </w:p>
    <w:p>
      <w:r>
        <w:t>This report freezes the successful sine-output and power-noise characterization. The following items should be completed only when the generator cartridge is revisited, unless needed for an immediate demonstration:</w:t>
      </w:r>
    </w:p>
    <w:p>
      <w:pPr>
        <w:pStyle w:val="ListBullet"/>
        <w:spacing w:after="80"/>
      </w:pPr>
      <w:r>
        <w:t>Triangle-wave sweep and explicit distortion limits.</w:t>
      </w:r>
    </w:p>
    <w:p>
      <w:pPr>
        <w:pStyle w:val="ListBullet"/>
        <w:spacing w:after="80"/>
      </w:pPr>
      <w:r>
        <w:t>Square-wave level, duty-cycle, and rise/fall characterization.</w:t>
      </w:r>
    </w:p>
    <w:p>
      <w:pPr>
        <w:pStyle w:val="ListBullet"/>
        <w:spacing w:after="80"/>
      </w:pPr>
      <w:r>
        <w:t>Repeat startup/output-disable and representative 10 kΩ/1 kΩ load checks on the final PCB.</w:t>
      </w:r>
    </w:p>
    <w:p>
      <w:pPr>
        <w:pStyle w:val="ListBullet"/>
        <w:spacing w:after="80"/>
      </w:pPr>
      <w:r>
        <w:t>A/B noise comparison using the Adafruit nRF52832 Feather base controller.</w:t>
      </w:r>
    </w:p>
    <w:p>
      <w:pPr>
        <w:pStyle w:val="ListBullet"/>
        <w:spacing w:after="80"/>
      </w:pPr>
      <w:r>
        <w:t>PCB-specific gain-stage redesign if wider full-amplitude bandwidth becomes a product requirement.</w:t>
      </w:r>
    </w:p>
    <w:p>
      <w:pPr>
        <w:pStyle w:val="Heading1"/>
      </w:pPr>
      <w:r>
        <w:t>Conclusion</w:t>
      </w:r>
    </w:p>
    <w:p>
      <w:r>
        <w:t>The breadboard function generator is a successful prototype and a strong basis for a future PocketLab cartridge. The ISL23415 provided the needed amplitude resolution, the bipolar offset envelope is predictable and symmetric, and the dominant converter noise mechanism was identified and corrected with a compact filter. The remaining principal limitation is well bounded: clean multi-volt sine generation is reliable through about 10 kHz, while higher-frequency performance becomes amplitude-dependent due to the high-gain Amp D stage. This is sufficient to freeze the revision and proceed to ADS1220/nRF52832 DMM development.</w:t>
      </w:r>
    </w:p>
    <w:sectPr w:rsidR="00FC693F" w:rsidRPr="0006063C" w:rsidSect="00034616">
      <w:headerReference w:type="default" r:id="rId9"/>
      <w:footerReference w:type="default" r:id="rId10"/>
      <w:pgSz w:w="12240" w:h="15840"/>
      <w:pgMar w:top="1080" w:right="1224" w:bottom="1008"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Prototype characterization • July 30,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POCKETLAB  |  FUNCTION GENERATOR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PocketLab Function Generator Prototype Characterization Report</dc:title>
  <dc:subject>Final prototype findings for future modular cartridge development</dc:subject>
  <dc:creator>Mark Anderson</dc:creator>
  <cp:keywords>PocketLab, function generator, AD9833, ISL23415, TLV9154, TMA 0505D</cp:keywords>
  <dc:description>generated by python-docx</dc:description>
  <cp:lastModifiedBy/>
  <cp:revision>1</cp:revision>
  <dcterms:created xsi:type="dcterms:W3CDTF">2013-12-23T23:15:00Z</dcterms:created>
  <dcterms:modified xsi:type="dcterms:W3CDTF">2013-12-23T23:15:00Z</dcterms:modified>
  <cp:category/>
</cp:coreProperties>
</file>