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1"/>
        <w:rPr>
          <w:sz w:val="20"/>
        </w:rPr>
      </w:pPr>
      <w:r>
        <w:rPr>
          <w:sz w:val="20"/>
        </w:rPr>
        <w:drawing>
          <wp:inline distT="0" distB="0" distL="0" distR="0">
            <wp:extent cx="1460396" cy="553211"/>
            <wp:effectExtent l="0" t="0" r="0" b="0"/>
            <wp:docPr id="1" name="image1.jpeg" descr="CNB_logo_CZ_2r_RG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396" cy="55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8"/>
        </w:rPr>
      </w:pPr>
    </w:p>
    <w:p>
      <w:pPr>
        <w:pStyle w:val="Heading1"/>
        <w:ind w:left="3426" w:right="2536"/>
      </w:pPr>
      <w:r>
        <w:rPr/>
        <w:t>ČÍSELNÍK KÓDŮ PLATEBNÍHO STYKU V ČESKÉ REPUBLICE (ČKPS)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 w:after="1"/>
        <w:rPr>
          <w:b/>
          <w:sz w:val="12"/>
        </w:rPr>
      </w:pPr>
    </w:p>
    <w:tbl>
      <w:tblPr>
        <w:tblW w:w="0" w:type="auto"/>
        <w:jc w:val="left"/>
        <w:tblInd w:w="4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1393"/>
      </w:tblGrid>
      <w:tr>
        <w:trPr>
          <w:trHeight w:val="316" w:hRule="atLeast"/>
        </w:trPr>
        <w:tc>
          <w:tcPr>
            <w:tcW w:w="1601" w:type="dxa"/>
          </w:tcPr>
          <w:p>
            <w:pPr>
              <w:pStyle w:val="TableParagraph"/>
              <w:spacing w:line="296" w:lineRule="exact" w:before="0"/>
              <w:ind w:left="0" w:right="68"/>
              <w:jc w:val="right"/>
              <w:rPr>
                <w:sz w:val="28"/>
              </w:rPr>
            </w:pPr>
            <w:r>
              <w:rPr>
                <w:sz w:val="28"/>
              </w:rPr>
              <w:t>Verze:</w:t>
            </w:r>
          </w:p>
        </w:tc>
        <w:tc>
          <w:tcPr>
            <w:tcW w:w="1393" w:type="dxa"/>
          </w:tcPr>
          <w:p>
            <w:pPr>
              <w:pStyle w:val="TableParagraph"/>
              <w:spacing w:line="296" w:lineRule="exact" w:before="0"/>
              <w:ind w:left="70"/>
              <w:rPr>
                <w:sz w:val="28"/>
              </w:rPr>
            </w:pPr>
            <w:r>
              <w:rPr>
                <w:sz w:val="28"/>
              </w:rPr>
              <w:t>252</w:t>
            </w:r>
          </w:p>
        </w:tc>
      </w:tr>
      <w:tr>
        <w:trPr>
          <w:trHeight w:val="316" w:hRule="atLeast"/>
        </w:trPr>
        <w:tc>
          <w:tcPr>
            <w:tcW w:w="1601" w:type="dxa"/>
          </w:tcPr>
          <w:p>
            <w:pPr>
              <w:pStyle w:val="TableParagraph"/>
              <w:spacing w:line="296" w:lineRule="exact" w:before="0"/>
              <w:ind w:left="0" w:right="68"/>
              <w:jc w:val="right"/>
              <w:rPr>
                <w:sz w:val="28"/>
              </w:rPr>
            </w:pPr>
            <w:r>
              <w:rPr>
                <w:sz w:val="28"/>
              </w:rPr>
              <w:t>Platnost od:</w:t>
            </w:r>
          </w:p>
        </w:tc>
        <w:tc>
          <w:tcPr>
            <w:tcW w:w="1393" w:type="dxa"/>
          </w:tcPr>
          <w:p>
            <w:pPr>
              <w:pStyle w:val="TableParagraph"/>
              <w:spacing w:line="296" w:lineRule="exact" w:before="0"/>
              <w:ind w:left="70"/>
              <w:rPr>
                <w:sz w:val="28"/>
              </w:rPr>
            </w:pPr>
            <w:r>
              <w:rPr>
                <w:sz w:val="28"/>
              </w:rPr>
              <w:t>1. 4. 2026</w:t>
            </w:r>
          </w:p>
        </w:tc>
      </w:tr>
    </w:tbl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"/>
        <w:gridCol w:w="1142"/>
        <w:gridCol w:w="6164"/>
        <w:gridCol w:w="1534"/>
        <w:gridCol w:w="960"/>
      </w:tblGrid>
      <w:tr>
        <w:trPr>
          <w:trHeight w:val="798" w:hRule="atLeast"/>
        </w:trPr>
        <w:tc>
          <w:tcPr>
            <w:tcW w:w="341" w:type="dxa"/>
            <w:shd w:val="clear" w:color="auto" w:fill="E4E4E4"/>
          </w:tcPr>
          <w:p>
            <w:pPr>
              <w:pStyle w:val="TableParagraph"/>
              <w:spacing w:before="9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Z</w:t>
            </w:r>
          </w:p>
        </w:tc>
        <w:tc>
          <w:tcPr>
            <w:tcW w:w="1142" w:type="dxa"/>
            <w:shd w:val="clear" w:color="auto" w:fill="E4E4E4"/>
          </w:tcPr>
          <w:p>
            <w:pPr>
              <w:pStyle w:val="TableParagraph"/>
              <w:spacing w:before="20"/>
              <w:ind w:left="69" w:right="40" w:firstLine="297"/>
              <w:rPr>
                <w:b/>
                <w:sz w:val="22"/>
              </w:rPr>
            </w:pPr>
            <w:r>
              <w:rPr>
                <w:b/>
                <w:sz w:val="22"/>
              </w:rPr>
              <w:t>Kód platebního</w:t>
            </w:r>
          </w:p>
          <w:p>
            <w:pPr>
              <w:pStyle w:val="TableParagraph"/>
              <w:spacing w:line="252" w:lineRule="exact" w:before="0"/>
              <w:ind w:left="312"/>
              <w:rPr>
                <w:b/>
                <w:sz w:val="22"/>
              </w:rPr>
            </w:pPr>
            <w:r>
              <w:rPr>
                <w:b/>
                <w:sz w:val="22"/>
              </w:rPr>
              <w:t>styku</w:t>
            </w:r>
          </w:p>
        </w:tc>
        <w:tc>
          <w:tcPr>
            <w:tcW w:w="6164" w:type="dxa"/>
            <w:shd w:val="clear" w:color="auto" w:fill="E4E4E4"/>
          </w:tcPr>
          <w:p>
            <w:pPr>
              <w:pStyle w:val="TableParagraph"/>
              <w:spacing w:before="9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640"/>
              <w:rPr>
                <w:b/>
                <w:sz w:val="22"/>
              </w:rPr>
            </w:pPr>
            <w:r>
              <w:rPr>
                <w:b/>
                <w:sz w:val="22"/>
              </w:rPr>
              <w:t>Poskytovatel platebních služeb</w:t>
            </w:r>
          </w:p>
        </w:tc>
        <w:tc>
          <w:tcPr>
            <w:tcW w:w="1534" w:type="dxa"/>
            <w:shd w:val="clear" w:color="auto" w:fill="E4E4E4"/>
          </w:tcPr>
          <w:p>
            <w:pPr>
              <w:pStyle w:val="TableParagraph"/>
              <w:spacing w:before="147"/>
              <w:ind w:left="337" w:right="311" w:firstLine="26"/>
              <w:rPr>
                <w:b/>
                <w:sz w:val="22"/>
              </w:rPr>
            </w:pPr>
            <w:r>
              <w:rPr>
                <w:b/>
                <w:sz w:val="22"/>
              </w:rPr>
              <w:t>BIC kód (SWIFT)</w:t>
            </w:r>
          </w:p>
        </w:tc>
        <w:tc>
          <w:tcPr>
            <w:tcW w:w="960" w:type="dxa"/>
            <w:shd w:val="clear" w:color="auto" w:fill="E4E4E4"/>
          </w:tcPr>
          <w:p>
            <w:pPr>
              <w:pStyle w:val="TableParagraph"/>
              <w:spacing w:before="147"/>
              <w:ind w:left="70" w:right="40" w:firstLine="72"/>
              <w:rPr>
                <w:b/>
                <w:sz w:val="22"/>
              </w:rPr>
            </w:pPr>
            <w:r>
              <w:rPr>
                <w:b/>
                <w:sz w:val="22"/>
              </w:rPr>
              <w:t>Systém CERTIS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0100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Komerční banka,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KOMBCZPP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0300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Československá obchodní banka, a. 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CEKOCZPP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0600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MONETA Money Bank,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AGBACZPP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3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9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0710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ČESKÁ NÁRODNÍ BANKA</w:t>
            </w:r>
          </w:p>
        </w:tc>
        <w:tc>
          <w:tcPr>
            <w:tcW w:w="1534" w:type="dxa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CNBACZPP</w:t>
            </w:r>
          </w:p>
        </w:tc>
        <w:tc>
          <w:tcPr>
            <w:tcW w:w="960" w:type="dxa"/>
          </w:tcPr>
          <w:p>
            <w:pPr>
              <w:pStyle w:val="TableParagraph"/>
              <w:spacing w:before="16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0800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Česká spořitelna,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GIBACZPX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2010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Fio banka,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FIOBCZPP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2060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Citfin, spořitelní družstvo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CITFCZPP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2070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TRINITY BANK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MPUBCZPP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2100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ČSOB Hypoteční banka, a.s.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Peněžní dům, spořitelní družstvo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2220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Artesa, spořitelní družstvo</w:t>
            </w:r>
          </w:p>
        </w:tc>
        <w:tc>
          <w:tcPr>
            <w:tcW w:w="1534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ARTTCZPP</w:t>
            </w:r>
          </w:p>
        </w:tc>
        <w:tc>
          <w:tcPr>
            <w:tcW w:w="960" w:type="dxa"/>
          </w:tcPr>
          <w:p>
            <w:pPr>
              <w:pStyle w:val="TableParagraph"/>
              <w:spacing w:before="17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2250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Banka CREDITAS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CTASCZ22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2260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NEY spořitelní družstvo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2600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Citibank Europe plc, organizační složka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CITICZPX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2700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UniCredit Bank Czech Republic and Slovakia, a.s.</w:t>
            </w:r>
          </w:p>
        </w:tc>
        <w:tc>
          <w:tcPr>
            <w:tcW w:w="1534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BACXCZPP</w:t>
            </w:r>
          </w:p>
        </w:tc>
        <w:tc>
          <w:tcPr>
            <w:tcW w:w="960" w:type="dxa"/>
          </w:tcPr>
          <w:p>
            <w:pPr>
              <w:pStyle w:val="TableParagraph"/>
              <w:spacing w:before="17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3030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Air Bank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AIRACZPP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3060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PKO BP S.A., Czech Branch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BPKOCZPP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3500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ING Bank N.V.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INGBCZPP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4300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Národní rozvojová banka, a.s.</w:t>
            </w:r>
          </w:p>
        </w:tc>
        <w:tc>
          <w:tcPr>
            <w:tcW w:w="1534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NROZCZPP</w:t>
            </w:r>
          </w:p>
        </w:tc>
        <w:tc>
          <w:tcPr>
            <w:tcW w:w="960" w:type="dxa"/>
          </w:tcPr>
          <w:p>
            <w:pPr>
              <w:pStyle w:val="TableParagraph"/>
              <w:spacing w:before="17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5500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Raiffeisenbank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RZBCCZPP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5800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J&amp;T BANKA,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JTBPCZPP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6000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PPF banka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PMBPCZPP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6200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COMMERZBANK Aktiengesellschaft, pobočka Praha</w:t>
            </w:r>
          </w:p>
        </w:tc>
        <w:tc>
          <w:tcPr>
            <w:tcW w:w="1534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COBACZPX</w:t>
            </w:r>
          </w:p>
        </w:tc>
        <w:tc>
          <w:tcPr>
            <w:tcW w:w="960" w:type="dxa"/>
          </w:tcPr>
          <w:p>
            <w:pPr>
              <w:pStyle w:val="TableParagraph"/>
              <w:spacing w:before="17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6210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mBank S.A., organizační složka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BREXCZPP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6300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BNP Paribas S.A., pobočka Česká republika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GEBACZPP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+</w:t>
            </w: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6363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Partners Banka, a.s.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PTBNCZPP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6600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Banking Circle S.A., Czech Republic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442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93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6700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Všeobecná úverová banka a.s., pobočka Praha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SUBACZPP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6800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Sberbank CZ, a.s. v likvidaci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VBOECZ2X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7910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Deutsche Bank Aktiengesellschaft Filiale Prag, organizační složka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DEUTCZPX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7950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Raiffeisen stavební spořitelna a.s.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7960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ČSOB Stavební spořitelna, a.s.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7970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MONETA Stavební Spořitelna, a.s.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7990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Modrá pyramida stavební spořitelna, a.s.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8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8030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Volksbank Raiffeisenbank Nordoberpfalz eG pobočka Cheb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GENOCZ21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00" w:bottom="280" w:left="280" w:right="400"/>
        </w:sectPr>
      </w:pPr>
    </w:p>
    <w:tbl>
      <w:tblPr>
        <w:tblW w:w="0" w:type="auto"/>
        <w:jc w:val="left"/>
        <w:tblInd w:w="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"/>
        <w:gridCol w:w="1142"/>
        <w:gridCol w:w="6164"/>
        <w:gridCol w:w="1534"/>
        <w:gridCol w:w="960"/>
      </w:tblGrid>
      <w:tr>
        <w:trPr>
          <w:trHeight w:val="799" w:hRule="atLeast"/>
        </w:trPr>
        <w:tc>
          <w:tcPr>
            <w:tcW w:w="341" w:type="dxa"/>
            <w:shd w:val="clear" w:color="auto" w:fill="E4E4E4"/>
          </w:tcPr>
          <w:p>
            <w:pPr>
              <w:pStyle w:val="TableParagraph"/>
              <w:spacing w:before="7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95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Z</w:t>
            </w:r>
          </w:p>
        </w:tc>
        <w:tc>
          <w:tcPr>
            <w:tcW w:w="1142" w:type="dxa"/>
            <w:shd w:val="clear" w:color="auto" w:fill="E4E4E4"/>
          </w:tcPr>
          <w:p>
            <w:pPr>
              <w:pStyle w:val="TableParagraph"/>
              <w:spacing w:before="17"/>
              <w:ind w:left="69" w:right="40" w:firstLine="297"/>
              <w:rPr>
                <w:b/>
                <w:sz w:val="22"/>
              </w:rPr>
            </w:pPr>
            <w:r>
              <w:rPr>
                <w:b/>
                <w:sz w:val="22"/>
              </w:rPr>
              <w:t>Kód platebního</w:t>
            </w:r>
          </w:p>
          <w:p>
            <w:pPr>
              <w:pStyle w:val="TableParagraph"/>
              <w:spacing w:line="252" w:lineRule="exact" w:before="4"/>
              <w:ind w:left="312"/>
              <w:rPr>
                <w:b/>
                <w:sz w:val="22"/>
              </w:rPr>
            </w:pPr>
            <w:r>
              <w:rPr>
                <w:b/>
                <w:sz w:val="22"/>
              </w:rPr>
              <w:t>styku</w:t>
            </w:r>
          </w:p>
        </w:tc>
        <w:tc>
          <w:tcPr>
            <w:tcW w:w="6164" w:type="dxa"/>
            <w:shd w:val="clear" w:color="auto" w:fill="E4E4E4"/>
          </w:tcPr>
          <w:p>
            <w:pPr>
              <w:pStyle w:val="TableParagraph"/>
              <w:spacing w:before="7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640"/>
              <w:rPr>
                <w:b/>
                <w:sz w:val="22"/>
              </w:rPr>
            </w:pPr>
            <w:r>
              <w:rPr>
                <w:b/>
                <w:sz w:val="22"/>
              </w:rPr>
              <w:t>Poskytovatel platebních služeb</w:t>
            </w:r>
          </w:p>
        </w:tc>
        <w:tc>
          <w:tcPr>
            <w:tcW w:w="1534" w:type="dxa"/>
            <w:shd w:val="clear" w:color="auto" w:fill="E4E4E4"/>
          </w:tcPr>
          <w:p>
            <w:pPr>
              <w:pStyle w:val="TableParagraph"/>
              <w:spacing w:before="145"/>
              <w:ind w:left="337" w:right="311" w:firstLine="26"/>
              <w:rPr>
                <w:b/>
                <w:sz w:val="22"/>
              </w:rPr>
            </w:pPr>
            <w:r>
              <w:rPr>
                <w:b/>
                <w:sz w:val="22"/>
              </w:rPr>
              <w:t>BIC kód (SWIFT)</w:t>
            </w:r>
          </w:p>
        </w:tc>
        <w:tc>
          <w:tcPr>
            <w:tcW w:w="960" w:type="dxa"/>
            <w:shd w:val="clear" w:color="auto" w:fill="E4E4E4"/>
          </w:tcPr>
          <w:p>
            <w:pPr>
              <w:pStyle w:val="TableParagraph"/>
              <w:spacing w:before="145"/>
              <w:ind w:left="70" w:right="40" w:firstLine="72"/>
              <w:rPr>
                <w:b/>
                <w:sz w:val="22"/>
              </w:rPr>
            </w:pPr>
            <w:r>
              <w:rPr>
                <w:b/>
                <w:sz w:val="22"/>
              </w:rPr>
              <w:t>Systém CERTIS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8040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Oberbank AG pobočka Česká republika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OBKLCZ2X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8060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Stavební spořitelna České spořitelny, a.s.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before="13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8090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Česká exportní banka, a.s.</w:t>
            </w:r>
          </w:p>
        </w:tc>
        <w:tc>
          <w:tcPr>
            <w:tcW w:w="153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CZEECZPP</w:t>
            </w:r>
          </w:p>
        </w:tc>
        <w:tc>
          <w:tcPr>
            <w:tcW w:w="960" w:type="dxa"/>
          </w:tcPr>
          <w:p>
            <w:pPr>
              <w:pStyle w:val="TableParagraph"/>
              <w:spacing w:before="13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8150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HSBC Continental Europe, Czech Republic</w:t>
            </w:r>
          </w:p>
        </w:tc>
        <w:tc>
          <w:tcPr>
            <w:tcW w:w="153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MIDLCZPP</w:t>
            </w:r>
          </w:p>
        </w:tc>
        <w:tc>
          <w:tcPr>
            <w:tcW w:w="960" w:type="dxa"/>
          </w:tcPr>
          <w:p>
            <w:pPr>
              <w:pStyle w:val="TableParagraph"/>
              <w:spacing w:before="13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8190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Sparkasse Oberlausitz-Niederschlesien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8198</w:t>
            </w:r>
          </w:p>
        </w:tc>
        <w:tc>
          <w:tcPr>
            <w:tcW w:w="616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FAS finance company s.r.o.</w:t>
            </w:r>
          </w:p>
        </w:tc>
        <w:tc>
          <w:tcPr>
            <w:tcW w:w="153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FFCSCZP1</w:t>
            </w:r>
          </w:p>
        </w:tc>
        <w:tc>
          <w:tcPr>
            <w:tcW w:w="960" w:type="dxa"/>
          </w:tcPr>
          <w:p>
            <w:pPr>
              <w:pStyle w:val="TableParagraph"/>
              <w:spacing w:before="13"/>
              <w:ind w:left="442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8220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Payment execution s.r.o.</w:t>
            </w:r>
          </w:p>
        </w:tc>
        <w:tc>
          <w:tcPr>
            <w:tcW w:w="153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PAERCZP1</w:t>
            </w:r>
          </w:p>
        </w:tc>
        <w:tc>
          <w:tcPr>
            <w:tcW w:w="960" w:type="dxa"/>
          </w:tcPr>
          <w:p>
            <w:pPr>
              <w:pStyle w:val="TableParagraph"/>
              <w:spacing w:before="13"/>
              <w:ind w:left="442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8250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Bank of China (CEE) Ltd. Prague Branch</w:t>
            </w:r>
          </w:p>
        </w:tc>
        <w:tc>
          <w:tcPr>
            <w:tcW w:w="153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BKCHCZPP</w:t>
            </w:r>
          </w:p>
        </w:tc>
        <w:tc>
          <w:tcPr>
            <w:tcW w:w="960" w:type="dxa"/>
          </w:tcPr>
          <w:p>
            <w:pPr>
              <w:pStyle w:val="TableParagraph"/>
              <w:spacing w:before="13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8255</w:t>
            </w:r>
          </w:p>
        </w:tc>
        <w:tc>
          <w:tcPr>
            <w:tcW w:w="61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Bank of Communications Co., Ltd., Prague Branch odštěpný závod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COMMCZPP</w:t>
            </w:r>
          </w:p>
        </w:tc>
        <w:tc>
          <w:tcPr>
            <w:tcW w:w="960" w:type="dxa"/>
          </w:tcPr>
          <w:p>
            <w:pPr>
              <w:pStyle w:val="TableParagraph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544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150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8265</w:t>
            </w:r>
          </w:p>
        </w:tc>
        <w:tc>
          <w:tcPr>
            <w:tcW w:w="6164" w:type="dxa"/>
          </w:tcPr>
          <w:p>
            <w:pPr>
              <w:pStyle w:val="TableParagraph"/>
              <w:spacing w:before="13"/>
              <w:ind w:right="111"/>
              <w:rPr>
                <w:sz w:val="22"/>
              </w:rPr>
            </w:pPr>
            <w:r>
              <w:rPr>
                <w:sz w:val="22"/>
              </w:rPr>
              <w:t>Industrial and Commercial Bank of China Limited, Prague Branch, odštěpný závod</w:t>
            </w:r>
          </w:p>
        </w:tc>
        <w:tc>
          <w:tcPr>
            <w:tcW w:w="1534" w:type="dxa"/>
          </w:tcPr>
          <w:p>
            <w:pPr>
              <w:pStyle w:val="TableParagraph"/>
              <w:spacing w:before="140"/>
              <w:rPr>
                <w:sz w:val="22"/>
              </w:rPr>
            </w:pPr>
            <w:r>
              <w:rPr>
                <w:sz w:val="22"/>
              </w:rPr>
              <w:t>ICBKCZPP</w:t>
            </w:r>
          </w:p>
        </w:tc>
        <w:tc>
          <w:tcPr>
            <w:tcW w:w="960" w:type="dxa"/>
          </w:tcPr>
          <w:p>
            <w:pPr>
              <w:pStyle w:val="TableParagraph"/>
              <w:spacing w:before="140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5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8500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Multitude Bank p.l.c.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before="13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3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8610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Devizová burza a.s.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before="13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34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spacing w:before="26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8660</w:t>
            </w:r>
          </w:p>
        </w:tc>
        <w:tc>
          <w:tcPr>
            <w:tcW w:w="6164" w:type="dxa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PAYMONT, UAB</w:t>
            </w:r>
          </w:p>
        </w:tc>
        <w:tc>
          <w:tcPr>
            <w:tcW w:w="153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before="13"/>
              <w:ind w:left="401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</w:tbl>
    <w:p>
      <w:pPr>
        <w:spacing w:line="250" w:lineRule="exact" w:before="135"/>
        <w:ind w:left="711" w:right="0" w:firstLine="0"/>
        <w:jc w:val="left"/>
        <w:rPr>
          <w:b/>
          <w:sz w:val="22"/>
        </w:rPr>
      </w:pPr>
      <w:r>
        <w:rPr>
          <w:b/>
          <w:sz w:val="22"/>
        </w:rPr>
        <w:t>Kontaktní osoby v ČNB:</w:t>
      </w:r>
    </w:p>
    <w:p>
      <w:pPr>
        <w:spacing w:line="250" w:lineRule="exact" w:before="0"/>
        <w:ind w:left="711" w:right="0" w:firstLine="0"/>
        <w:jc w:val="left"/>
        <w:rPr>
          <w:sz w:val="22"/>
        </w:rPr>
      </w:pPr>
      <w:r>
        <w:rPr>
          <w:sz w:val="22"/>
        </w:rPr>
        <w:t>Kateřina Petrašová, tel. +420 224 413 675, </w:t>
      </w:r>
      <w:hyperlink r:id="rId6">
        <w:r>
          <w:rPr>
            <w:sz w:val="22"/>
          </w:rPr>
          <w:t>Katerina.Petrasova@cnb.cz</w:t>
        </w:r>
      </w:hyperlink>
    </w:p>
    <w:p>
      <w:pPr>
        <w:spacing w:line="252" w:lineRule="exact" w:before="0"/>
        <w:ind w:left="711" w:right="0" w:firstLine="0"/>
        <w:jc w:val="left"/>
        <w:rPr>
          <w:sz w:val="22"/>
        </w:rPr>
      </w:pPr>
      <w:r>
        <w:rPr>
          <w:sz w:val="22"/>
        </w:rPr>
        <w:t>Monika Humlová, tel. +420 </w:t>
      </w:r>
      <w:r>
        <w:rPr>
          <w:color w:val="1E1E1E"/>
          <w:sz w:val="22"/>
        </w:rPr>
        <w:t>224 413 355</w:t>
      </w:r>
      <w:r>
        <w:rPr>
          <w:sz w:val="22"/>
        </w:rPr>
        <w:t>, </w:t>
      </w:r>
      <w:hyperlink r:id="rId7">
        <w:r>
          <w:rPr>
            <w:sz w:val="22"/>
          </w:rPr>
          <w:t>Monika.Humlova@cnb.cz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260"/>
        <w:ind w:firstLine="0"/>
        <w:jc w:val="center"/>
      </w:pPr>
      <w:r>
        <w:rPr/>
        <w:t>Přehled změn</w:t>
      </w:r>
    </w:p>
    <w:p>
      <w:pPr>
        <w:spacing w:before="118"/>
        <w:ind w:left="117" w:right="0" w:firstLine="0"/>
        <w:jc w:val="center"/>
        <w:rPr>
          <w:b/>
          <w:sz w:val="28"/>
        </w:rPr>
      </w:pPr>
      <w:r>
        <w:rPr>
          <w:spacing w:val="-71"/>
          <w:w w:val="100"/>
          <w:sz w:val="28"/>
          <w:u w:val="thick"/>
        </w:rPr>
        <w:t> </w:t>
      </w:r>
      <w:r>
        <w:rPr>
          <w:b/>
          <w:sz w:val="28"/>
          <w:u w:val="thick"/>
        </w:rPr>
        <w:t>Změny ve vztahu k předchozí verzi Číselníku ČKPS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1"/>
        </w:rPr>
      </w:pPr>
    </w:p>
    <w:tbl>
      <w:tblPr>
        <w:tblW w:w="0" w:type="auto"/>
        <w:jc w:val="left"/>
        <w:tblInd w:w="5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8"/>
        <w:gridCol w:w="965"/>
        <w:gridCol w:w="5672"/>
        <w:gridCol w:w="1736"/>
        <w:gridCol w:w="823"/>
      </w:tblGrid>
      <w:tr>
        <w:trPr>
          <w:trHeight w:val="593" w:hRule="atLeast"/>
        </w:trPr>
        <w:tc>
          <w:tcPr>
            <w:tcW w:w="1148" w:type="dxa"/>
            <w:tcBorders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9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70" w:right="1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Typ změny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20"/>
              <w:ind w:left="124" w:right="98" w:firstLine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Kód platebního styku</w:t>
            </w:r>
          </w:p>
        </w:tc>
        <w:tc>
          <w:tcPr>
            <w:tcW w:w="567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9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795"/>
              <w:rPr>
                <w:b/>
                <w:sz w:val="16"/>
              </w:rPr>
            </w:pPr>
            <w:r>
              <w:rPr>
                <w:b/>
                <w:sz w:val="16"/>
              </w:rPr>
              <w:t>Poskytovatel platebních služeb</w:t>
            </w:r>
          </w:p>
        </w:tc>
        <w:tc>
          <w:tcPr>
            <w:tcW w:w="173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9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254"/>
              <w:rPr>
                <w:b/>
                <w:sz w:val="16"/>
              </w:rPr>
            </w:pPr>
            <w:r>
              <w:rPr>
                <w:b/>
                <w:sz w:val="16"/>
              </w:rPr>
              <w:t>BIC kód (SWIFT)</w:t>
            </w:r>
          </w:p>
        </w:tc>
        <w:tc>
          <w:tcPr>
            <w:tcW w:w="823" w:type="dxa"/>
            <w:tcBorders>
              <w:lef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111"/>
              <w:ind w:left="44" w:right="143" w:firstLine="55"/>
              <w:rPr>
                <w:b/>
                <w:sz w:val="16"/>
              </w:rPr>
            </w:pPr>
            <w:r>
              <w:rPr>
                <w:b/>
                <w:sz w:val="16"/>
              </w:rPr>
              <w:t>Systém CERTIS</w:t>
            </w:r>
          </w:p>
        </w:tc>
      </w:tr>
      <w:tr>
        <w:trPr>
          <w:trHeight w:val="292" w:hRule="atLeast"/>
        </w:trPr>
        <w:tc>
          <w:tcPr>
            <w:tcW w:w="1148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70" w:right="152"/>
              <w:jc w:val="center"/>
              <w:rPr>
                <w:sz w:val="18"/>
              </w:rPr>
            </w:pPr>
            <w:r>
              <w:rPr>
                <w:sz w:val="18"/>
              </w:rPr>
              <w:t>dříve</w:t>
            </w:r>
          </w:p>
        </w:tc>
        <w:tc>
          <w:tcPr>
            <w:tcW w:w="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39" w:right="2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6363</w:t>
            </w:r>
          </w:p>
        </w:tc>
        <w:tc>
          <w:tcPr>
            <w:tcW w:w="5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Partners Banka, a.s.</w:t>
            </w:r>
          </w:p>
        </w:tc>
        <w:tc>
          <w:tcPr>
            <w:tcW w:w="17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  <w:tr>
        <w:trPr>
          <w:trHeight w:val="291" w:hRule="atLeast"/>
        </w:trPr>
        <w:tc>
          <w:tcPr>
            <w:tcW w:w="114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ind w:left="170" w:right="155"/>
              <w:jc w:val="center"/>
              <w:rPr>
                <w:sz w:val="18"/>
              </w:rPr>
            </w:pPr>
            <w:r>
              <w:rPr>
                <w:sz w:val="18"/>
              </w:rPr>
              <w:t>nyní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39" w:right="2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6363</w:t>
            </w:r>
          </w:p>
        </w:tc>
        <w:tc>
          <w:tcPr>
            <w:tcW w:w="56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Partners Banka, a.s.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PTBNCZPP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3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A</w:t>
            </w:r>
          </w:p>
        </w:tc>
      </w:tr>
    </w:tbl>
    <w:p>
      <w:pPr>
        <w:spacing w:after="0"/>
        <w:jc w:val="center"/>
        <w:rPr>
          <w:sz w:val="22"/>
        </w:rPr>
        <w:sectPr>
          <w:pgSz w:w="11910" w:h="16840"/>
          <w:pgMar w:top="1400" w:bottom="280" w:left="280" w:right="400"/>
        </w:sectPr>
      </w:pPr>
    </w:p>
    <w:p>
      <w:pPr>
        <w:spacing w:before="76"/>
        <w:ind w:left="595" w:right="0" w:firstLine="0"/>
        <w:jc w:val="left"/>
        <w:rPr>
          <w:b/>
          <w:sz w:val="24"/>
        </w:rPr>
      </w:pPr>
      <w:r>
        <w:rPr>
          <w:b/>
          <w:sz w:val="24"/>
        </w:rPr>
        <w:t>Vysvětlivky k Číselníku ČKPS</w:t>
      </w:r>
    </w:p>
    <w:p>
      <w:pPr>
        <w:pStyle w:val="BodyText"/>
        <w:spacing w:before="9" w:after="1"/>
        <w:rPr>
          <w:b/>
          <w:sz w:val="25"/>
        </w:rPr>
      </w:pPr>
    </w:p>
    <w:tbl>
      <w:tblPr>
        <w:tblW w:w="0" w:type="auto"/>
        <w:jc w:val="left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8"/>
        <w:gridCol w:w="8266"/>
      </w:tblGrid>
      <w:tr>
        <w:trPr>
          <w:trHeight w:val="788" w:hRule="atLeast"/>
        </w:trPr>
        <w:tc>
          <w:tcPr>
            <w:tcW w:w="2238" w:type="dxa"/>
          </w:tcPr>
          <w:p>
            <w:pPr>
              <w:pStyle w:val="TableParagraph"/>
              <w:spacing w:line="221" w:lineRule="exact" w:before="0"/>
              <w:ind w:left="200"/>
              <w:rPr>
                <w:sz w:val="20"/>
              </w:rPr>
            </w:pPr>
            <w:r>
              <w:rPr>
                <w:w w:val="99"/>
                <w:sz w:val="20"/>
              </w:rPr>
              <w:t>Z</w:t>
            </w:r>
          </w:p>
        </w:tc>
        <w:tc>
          <w:tcPr>
            <w:tcW w:w="8266" w:type="dxa"/>
          </w:tcPr>
          <w:p>
            <w:pPr>
              <w:pStyle w:val="TableParagraph"/>
              <w:spacing w:line="221" w:lineRule="exact" w:before="0"/>
              <w:ind w:left="122"/>
              <w:rPr>
                <w:sz w:val="20"/>
              </w:rPr>
            </w:pPr>
            <w:r>
              <w:rPr>
                <w:sz w:val="20"/>
              </w:rPr>
              <w:t>Změna – indikace změny v údajích ve vztahu k předchozí verzi Číselníku ČKPS.</w:t>
            </w:r>
          </w:p>
          <w:p>
            <w:pPr>
              <w:pStyle w:val="TableParagraph"/>
              <w:spacing w:before="60"/>
              <w:ind w:left="122" w:right="164"/>
              <w:rPr>
                <w:sz w:val="18"/>
              </w:rPr>
            </w:pPr>
            <w:r>
              <w:rPr>
                <w:sz w:val="18"/>
              </w:rPr>
              <w:t>+ nově doplněný poskytovatel platebních služeb nebo změna údajů stávajícího poskytovatele platebních služeb.</w:t>
            </w:r>
          </w:p>
        </w:tc>
      </w:tr>
      <w:tr>
        <w:trPr>
          <w:trHeight w:val="2030" w:hRule="atLeast"/>
        </w:trPr>
        <w:tc>
          <w:tcPr>
            <w:tcW w:w="2238" w:type="dxa"/>
          </w:tcPr>
          <w:p>
            <w:pPr>
              <w:pStyle w:val="TableParagraph"/>
              <w:spacing w:before="85"/>
              <w:ind w:left="200"/>
              <w:rPr>
                <w:sz w:val="20"/>
              </w:rPr>
            </w:pPr>
            <w:r>
              <w:rPr>
                <w:sz w:val="20"/>
              </w:rPr>
              <w:t>Kód platebního styku</w:t>
            </w:r>
          </w:p>
        </w:tc>
        <w:tc>
          <w:tcPr>
            <w:tcW w:w="8266" w:type="dxa"/>
          </w:tcPr>
          <w:p>
            <w:pPr>
              <w:pStyle w:val="TableParagraph"/>
              <w:spacing w:before="85"/>
              <w:ind w:left="122"/>
              <w:jc w:val="both"/>
              <w:rPr>
                <w:sz w:val="20"/>
              </w:rPr>
            </w:pPr>
            <w:r>
              <w:rPr>
                <w:sz w:val="20"/>
              </w:rPr>
              <w:t>Číselný kód poskytovatele platebních služeb přidělený Českou národní bankou v souladu s § 6</w:t>
            </w:r>
          </w:p>
          <w:p>
            <w:pPr>
              <w:pStyle w:val="TableParagraph"/>
              <w:spacing w:before="0"/>
              <w:ind w:left="122"/>
              <w:jc w:val="both"/>
              <w:rPr>
                <w:sz w:val="20"/>
              </w:rPr>
            </w:pPr>
            <w:hyperlink r:id="rId8">
              <w:r>
                <w:rPr>
                  <w:color w:val="0000FF"/>
                  <w:w w:val="99"/>
                  <w:sz w:val="20"/>
                  <w:u w:val="single" w:color="0000FF"/>
                </w:rPr>
                <w:t> </w:t>
              </w:r>
              <w:r>
                <w:rPr>
                  <w:color w:val="0000FF"/>
                  <w:sz w:val="20"/>
                  <w:u w:val="single" w:color="0000FF"/>
                </w:rPr>
                <w:t>vyhlášky č. 169/2011 Sb.</w:t>
              </w:r>
              <w:r>
                <w:rPr>
                  <w:sz w:val="20"/>
                </w:rPr>
                <w:t>, </w:t>
              </w:r>
            </w:hyperlink>
            <w:r>
              <w:rPr>
                <w:sz w:val="20"/>
              </w:rPr>
              <w:t>o pravidlech tvorby čísla účtu v platebním styku.</w:t>
            </w:r>
          </w:p>
          <w:p>
            <w:pPr>
              <w:pStyle w:val="TableParagraph"/>
              <w:spacing w:before="121"/>
              <w:ind w:left="122" w:right="201"/>
              <w:jc w:val="both"/>
              <w:rPr>
                <w:sz w:val="20"/>
              </w:rPr>
            </w:pPr>
            <w:r>
              <w:rPr>
                <w:sz w:val="20"/>
              </w:rPr>
              <w:t>Kód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používá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při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tvorbě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čísla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účtu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národním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formátu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formátu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IBAN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slouží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jednoznačné identifikaci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účtu.</w:t>
            </w:r>
          </w:p>
          <w:p>
            <w:pPr>
              <w:pStyle w:val="TableParagraph"/>
              <w:spacing w:before="121"/>
              <w:ind w:left="122" w:right="206"/>
              <w:jc w:val="both"/>
              <w:rPr>
                <w:sz w:val="20"/>
              </w:rPr>
            </w:pPr>
            <w:r>
              <w:rPr>
                <w:sz w:val="20"/>
              </w:rPr>
              <w:t>Kód se dále používá při provádění tuzemských mezibankovních plateb (systém CERTIS),</w:t>
            </w:r>
            <w:r>
              <w:rPr>
                <w:spacing w:val="-35"/>
                <w:sz w:val="20"/>
              </w:rPr>
              <w:t> </w:t>
            </w:r>
            <w:r>
              <w:rPr>
                <w:sz w:val="20"/>
              </w:rPr>
              <w:t>případně pro další účely uvedené  v Pravidlech pro vydávání a  správu Číselníku kódů platebního styku       v České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republice.</w:t>
            </w:r>
          </w:p>
        </w:tc>
      </w:tr>
      <w:tr>
        <w:trPr>
          <w:trHeight w:val="581" w:hRule="atLeast"/>
        </w:trPr>
        <w:tc>
          <w:tcPr>
            <w:tcW w:w="2238" w:type="dxa"/>
          </w:tcPr>
          <w:p>
            <w:pPr>
              <w:pStyle w:val="TableParagraph"/>
              <w:spacing w:before="85"/>
              <w:ind w:left="200" w:right="101"/>
              <w:rPr>
                <w:sz w:val="20"/>
              </w:rPr>
            </w:pPr>
            <w:r>
              <w:rPr>
                <w:sz w:val="20"/>
              </w:rPr>
              <w:t>Poskytovatel platebních služeb</w:t>
            </w:r>
          </w:p>
        </w:tc>
        <w:tc>
          <w:tcPr>
            <w:tcW w:w="8266" w:type="dxa"/>
          </w:tcPr>
          <w:p>
            <w:pPr>
              <w:pStyle w:val="TableParagraph"/>
              <w:spacing w:before="85"/>
              <w:ind w:left="122"/>
              <w:rPr>
                <w:sz w:val="20"/>
              </w:rPr>
            </w:pPr>
            <w:r>
              <w:rPr>
                <w:sz w:val="20"/>
              </w:rPr>
              <w:t>Název poskytovatele platebních služeb.</w:t>
            </w:r>
          </w:p>
        </w:tc>
      </w:tr>
      <w:tr>
        <w:trPr>
          <w:trHeight w:val="2199" w:hRule="atLeast"/>
        </w:trPr>
        <w:tc>
          <w:tcPr>
            <w:tcW w:w="2238" w:type="dxa"/>
          </w:tcPr>
          <w:p>
            <w:pPr>
              <w:pStyle w:val="TableParagraph"/>
              <w:spacing w:before="26"/>
              <w:ind w:left="200"/>
              <w:rPr>
                <w:sz w:val="20"/>
              </w:rPr>
            </w:pPr>
            <w:r>
              <w:rPr>
                <w:sz w:val="20"/>
              </w:rPr>
              <w:t>BIC kód (SWIFT)</w:t>
            </w:r>
          </w:p>
        </w:tc>
        <w:tc>
          <w:tcPr>
            <w:tcW w:w="8266" w:type="dxa"/>
          </w:tcPr>
          <w:p>
            <w:pPr>
              <w:pStyle w:val="TableParagraph"/>
              <w:spacing w:before="26"/>
              <w:ind w:left="122" w:right="198"/>
              <w:jc w:val="both"/>
              <w:rPr>
                <w:sz w:val="20"/>
              </w:rPr>
            </w:pPr>
            <w:r>
              <w:rPr>
                <w:sz w:val="20"/>
              </w:rPr>
              <w:t>BIC (Bank Identifier Code) – swiftová adresa poskytovatele platebních služeb – kód přidělený poskytovateli společností SWIFT (v systému CERTIS není využíván).</w:t>
            </w:r>
          </w:p>
          <w:p>
            <w:pPr>
              <w:pStyle w:val="TableParagraph"/>
              <w:spacing w:before="118"/>
              <w:ind w:left="122" w:right="201"/>
              <w:jc w:val="both"/>
              <w:rPr>
                <w:sz w:val="20"/>
              </w:rPr>
            </w:pPr>
            <w:r>
              <w:rPr>
                <w:sz w:val="20"/>
              </w:rPr>
              <w:t>BIC kód uvedený v číselníku ČKPS je důležitý pro směrování  SEPA plateb  ze zemí EU do ČR,  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kterých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plátce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nemusí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uvádět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příkazu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kód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banky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příjemce,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neboť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určení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banky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příjemce postačuje číslo účtu příjemce ve formátu IBAN. Banka plátce může, na základě kódu platebního styku, který je součástí IBANu příjemce, získat z Číselníku ČKPS BIC kód banky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příjemce.</w:t>
            </w:r>
          </w:p>
          <w:p>
            <w:pPr>
              <w:pStyle w:val="TableParagraph"/>
              <w:spacing w:before="122"/>
              <w:ind w:left="122" w:right="200"/>
              <w:jc w:val="both"/>
              <w:rPr>
                <w:sz w:val="20"/>
              </w:rPr>
            </w:pPr>
            <w:r>
              <w:rPr>
                <w:sz w:val="20"/>
              </w:rPr>
              <w:t>Číselník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ČKPS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obsahuje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pouze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kódy,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které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dotčený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poskytovatel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platebních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služeb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předal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ČNB ke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zveřejnění.</w:t>
            </w:r>
          </w:p>
        </w:tc>
      </w:tr>
      <w:tr>
        <w:trPr>
          <w:trHeight w:val="895" w:hRule="atLeast"/>
        </w:trPr>
        <w:tc>
          <w:tcPr>
            <w:tcW w:w="2238" w:type="dxa"/>
          </w:tcPr>
          <w:p>
            <w:pPr>
              <w:pStyle w:val="TableParagraph"/>
              <w:spacing w:before="84"/>
              <w:ind w:left="200"/>
              <w:rPr>
                <w:sz w:val="20"/>
              </w:rPr>
            </w:pPr>
            <w:r>
              <w:rPr>
                <w:sz w:val="20"/>
              </w:rPr>
              <w:t>Systém CERTIS</w:t>
            </w:r>
          </w:p>
        </w:tc>
        <w:tc>
          <w:tcPr>
            <w:tcW w:w="8266" w:type="dxa"/>
          </w:tcPr>
          <w:p>
            <w:pPr>
              <w:pStyle w:val="TableParagraph"/>
              <w:spacing w:line="302" w:lineRule="auto" w:before="84"/>
              <w:ind w:left="122" w:right="1381"/>
              <w:rPr>
                <w:sz w:val="20"/>
              </w:rPr>
            </w:pPr>
            <w:r>
              <w:rPr>
                <w:sz w:val="20"/>
              </w:rPr>
              <w:t>Informace o účasti v systému CERTIS (</w:t>
            </w:r>
            <w:hyperlink r:id="rId9">
              <w:r>
                <w:rPr>
                  <w:color w:val="0000FF"/>
                  <w:sz w:val="20"/>
                  <w:u w:val="single" w:color="0000FF"/>
                </w:rPr>
                <w:t>https://www.cnb.cz/cs/platebni-styk/certis/</w:t>
              </w:r>
            </w:hyperlink>
            <w:r>
              <w:rPr>
                <w:sz w:val="20"/>
              </w:rPr>
              <w:t>): A subjekt je přímým účastníkem systému CERTIS</w:t>
            </w:r>
          </w:p>
          <w:p>
            <w:pPr>
              <w:pStyle w:val="TableParagraph"/>
              <w:tabs>
                <w:tab w:pos="475" w:val="left" w:leader="none"/>
              </w:tabs>
              <w:spacing w:line="210" w:lineRule="exact" w:before="1"/>
              <w:ind w:left="122"/>
              <w:rPr>
                <w:sz w:val="20"/>
              </w:rPr>
            </w:pPr>
            <w:r>
              <w:rPr>
                <w:sz w:val="20"/>
              </w:rPr>
              <w:t>–</w:t>
              <w:tab/>
              <w:t>subjekt není účastníkem systému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CERTIS.</w:t>
            </w:r>
          </w:p>
        </w:tc>
      </w:tr>
    </w:tbl>
    <w:p>
      <w:pPr>
        <w:pStyle w:val="BodyText"/>
        <w:spacing w:before="4"/>
        <w:rPr>
          <w:b/>
          <w:sz w:val="30"/>
        </w:rPr>
      </w:pPr>
    </w:p>
    <w:p>
      <w:pPr>
        <w:pStyle w:val="BodyText"/>
        <w:ind w:left="595" w:right="72"/>
      </w:pPr>
      <w:r>
        <w:rPr/>
        <w:t>ČNB</w:t>
      </w:r>
      <w:r>
        <w:rPr>
          <w:spacing w:val="-16"/>
        </w:rPr>
        <w:t> </w:t>
      </w:r>
      <w:r>
        <w:rPr/>
        <w:t>vydává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uveřejňuje</w:t>
      </w:r>
      <w:r>
        <w:rPr>
          <w:spacing w:val="-10"/>
        </w:rPr>
        <w:t> </w:t>
      </w:r>
      <w:r>
        <w:rPr/>
        <w:t>Číselník</w:t>
      </w:r>
      <w:r>
        <w:rPr>
          <w:spacing w:val="-11"/>
        </w:rPr>
        <w:t> </w:t>
      </w:r>
      <w:r>
        <w:rPr/>
        <w:t>ČKPS</w:t>
      </w:r>
      <w:r>
        <w:rPr>
          <w:spacing w:val="-13"/>
        </w:rPr>
        <w:t> </w:t>
      </w:r>
      <w:r>
        <w:rPr/>
        <w:t>podle</w:t>
      </w:r>
      <w:r>
        <w:rPr>
          <w:spacing w:val="-13"/>
        </w:rPr>
        <w:t> </w:t>
      </w:r>
      <w:r>
        <w:rPr/>
        <w:t>Pravidel</w:t>
      </w:r>
      <w:r>
        <w:rPr>
          <w:spacing w:val="-13"/>
        </w:rPr>
        <w:t> </w:t>
      </w:r>
      <w:r>
        <w:rPr/>
        <w:t>pro</w:t>
      </w:r>
      <w:r>
        <w:rPr>
          <w:spacing w:val="-13"/>
        </w:rPr>
        <w:t> </w:t>
      </w:r>
      <w:r>
        <w:rPr/>
        <w:t>vydávání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správu</w:t>
      </w:r>
      <w:r>
        <w:rPr>
          <w:spacing w:val="-12"/>
        </w:rPr>
        <w:t> </w:t>
      </w:r>
      <w:r>
        <w:rPr/>
        <w:t>Číselníku</w:t>
      </w:r>
      <w:r>
        <w:rPr>
          <w:spacing w:val="-13"/>
        </w:rPr>
        <w:t> </w:t>
      </w:r>
      <w:r>
        <w:rPr/>
        <w:t>kódů</w:t>
      </w:r>
      <w:r>
        <w:rPr>
          <w:spacing w:val="-12"/>
        </w:rPr>
        <w:t> </w:t>
      </w:r>
      <w:r>
        <w:rPr/>
        <w:t>platebního styku v České republice</w:t>
      </w:r>
      <w:r>
        <w:rPr>
          <w:spacing w:val="-3"/>
        </w:rPr>
        <w:t> </w:t>
      </w:r>
      <w:r>
        <w:rPr/>
        <w:t>(ČKPS).</w:t>
      </w:r>
    </w:p>
    <w:sectPr>
      <w:pgSz w:w="11910" w:h="16840"/>
      <w:pgMar w:top="1320" w:bottom="280" w:left="28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cs-CZ" w:eastAsia="cs-CZ" w:bidi="cs-CZ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cs-CZ" w:eastAsia="cs-CZ" w:bidi="cs-CZ"/>
    </w:rPr>
  </w:style>
  <w:style w:styleId="Heading1" w:type="paragraph">
    <w:name w:val="Heading 1"/>
    <w:basedOn w:val="Normal"/>
    <w:uiPriority w:val="1"/>
    <w:qFormat/>
    <w:pPr>
      <w:spacing w:before="86"/>
      <w:ind w:left="114" w:hanging="754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cs-CZ" w:eastAsia="cs-CZ" w:bidi="cs-CZ"/>
    </w:rPr>
  </w:style>
  <w:style w:styleId="ListParagraph" w:type="paragraph">
    <w:name w:val="List Paragraph"/>
    <w:basedOn w:val="Normal"/>
    <w:uiPriority w:val="1"/>
    <w:qFormat/>
    <w:pPr/>
    <w:rPr>
      <w:lang w:val="cs-CZ" w:eastAsia="cs-CZ" w:bidi="cs-CZ"/>
    </w:rPr>
  </w:style>
  <w:style w:styleId="TableParagraph" w:type="paragraph">
    <w:name w:val="Table Paragraph"/>
    <w:basedOn w:val="Normal"/>
    <w:uiPriority w:val="1"/>
    <w:qFormat/>
    <w:pPr>
      <w:spacing w:before="15"/>
      <w:ind w:left="108"/>
    </w:pPr>
    <w:rPr>
      <w:rFonts w:ascii="Times New Roman" w:hAnsi="Times New Roman" w:eastAsia="Times New Roman" w:cs="Times New Roman"/>
      <w:lang w:val="cs-CZ" w:eastAsia="cs-CZ" w:bidi="cs-CZ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Katerina.Petrasova@cnb.cz" TargetMode="External"/><Relationship Id="rId7" Type="http://schemas.openxmlformats.org/officeDocument/2006/relationships/hyperlink" Target="mailto:Monika.Humlova@cnb.cz" TargetMode="External"/><Relationship Id="rId8" Type="http://schemas.openxmlformats.org/officeDocument/2006/relationships/hyperlink" Target="https://www.cnb.cz/export/sites/cnb/cs/legislativa/.galleries/vyhlasky/vyhlaska_169_2011.pdf" TargetMode="External"/><Relationship Id="rId9" Type="http://schemas.openxmlformats.org/officeDocument/2006/relationships/hyperlink" Target="https://www.cnb.cz/cs/platebni-styk/certis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Pincová Marie</dc:creator>
  <dcterms:created xsi:type="dcterms:W3CDTF">2026-05-28T12:27:10Z</dcterms:created>
  <dcterms:modified xsi:type="dcterms:W3CDTF">2026-05-28T12:27:10Z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2026-05-28T00:00:00Z</vt:filetime>
  </property>
</Properties>
</file>