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Aptos" w:hAnsi="Aptos" w:eastAsia="Aptos"/>
          <w:b/>
          <w:i w:val="0"/>
          <w:color w:val="1F4E79"/>
          <w:sz w:val="44"/>
        </w:rPr>
        <w:t>Light-Time Inversion</w:t>
      </w:r>
    </w:p>
    <w:p>
      <w:pPr>
        <w:jc w:val="center"/>
      </w:pPr>
      <w:r>
        <w:rPr>
          <w:rFonts w:ascii="Aptos" w:hAnsi="Aptos" w:eastAsia="Aptos"/>
          <w:b/>
          <w:i w:val="0"/>
          <w:color w:val="262626"/>
          <w:sz w:val="32"/>
        </w:rPr>
        <w:t>Exact Claim, Null Model, and Analog Test</w:t>
      </w:r>
    </w:p>
    <w:p>
      <w:pPr>
        <w:spacing w:before="160"/>
        <w:jc w:val="center"/>
      </w:pPr>
      <w:r>
        <w:rPr>
          <w:rFonts w:ascii="Aptos" w:hAnsi="Aptos" w:eastAsia="Aptos"/>
          <w:b w:val="0"/>
          <w:i/>
          <w:color w:val="5A5A5A"/>
          <w:sz w:val="23"/>
        </w:rPr>
        <w:t>A compressed reviewer-facing note for Reverse Universe Theory (R.U.T.)</w:t>
      </w:r>
    </w:p>
    <w:tbl>
      <w:tblPr>
        <w:tblW w:type="auto" w:w="0"/>
        <w:jc w:val="center"/>
        <w:tblLook w:firstColumn="1" w:firstRow="1" w:lastColumn="0" w:lastRow="0" w:noHBand="0" w:noVBand="1" w:val="04A0"/>
      </w:tblPr>
      <w:tblGrid>
        <w:gridCol w:w="9792"/>
      </w:tblGrid>
      <w:tr>
        <w:tc>
          <w:tcPr>
            <w:tcW w:type="dxa" w:w="9792"/>
            <w:shd w:fill="EFF4FA"/>
            <w:tcMar>
              <w:top w:w="120" w:type="dxa"/>
              <w:start w:w="140" w:type="dxa"/>
              <w:bottom w:w="110" w:type="dxa"/>
              <w:end w:w="140" w:type="dxa"/>
            </w:tcMar>
            <w:vAlign w:val="center"/>
          </w:tcPr>
          <w:p>
            <w:pPr>
              <w:spacing w:after="40"/>
            </w:pPr>
            <w:r>
              <w:rPr>
                <w:rFonts w:ascii="Aptos" w:hAnsi="Aptos" w:eastAsia="Aptos"/>
                <w:b/>
                <w:i w:val="0"/>
                <w:color w:val="1F4E79"/>
                <w:sz w:val="21"/>
              </w:rPr>
              <w:t>Purpose</w:t>
            </w:r>
          </w:p>
          <w:p>
            <w:pPr>
              <w:spacing w:after="0"/>
            </w:pPr>
            <w:r>
              <w:rPr>
                <w:rFonts w:ascii="Aptos" w:hAnsi="Aptos" w:eastAsia="Aptos"/>
                <w:b w:val="0"/>
                <w:i w:val="0"/>
                <w:color w:val="262626"/>
                <w:sz w:val="21"/>
              </w:rPr>
              <w:t>This note deliberately narrows the broad R.U.T. architecture to one claim only: whether temporal orientation and light-state orientation are structurally coupled across boundary regimes, and whether that coupling produces a bounded analog signature that can be tested and falsified.</w:t>
            </w:r>
          </w:p>
        </w:tc>
      </w:tr>
    </w:tbl>
    <w:p>
      <w:pPr>
        <w:spacing w:after="40"/>
      </w:pPr>
    </w:p>
    <w:p>
      <w:pPr>
        <w:spacing w:after="160" w:before="0" w:line="276" w:lineRule="auto"/>
        <w:jc w:val="both"/>
      </w:pPr>
      <w:r>
        <w:rPr>
          <w:rFonts w:ascii="Aptos" w:hAnsi="Aptos" w:eastAsia="Aptos"/>
          <w:b w:val="0"/>
          <w:i w:val="0"/>
          <w:color w:val="262626"/>
          <w:sz w:val="22"/>
        </w:rPr>
        <w:t>This document is intentionally severe in scope. It does not attempt to prove the full cosmological framework. It isolates one live idea, states what it does and does not claim, defines the strongest ordinary null model, and lays out an analog test whose failure would count against the claim.</w:t>
      </w:r>
    </w:p>
    <w:p>
      <w:pPr>
        <w:spacing w:after="280" w:before="0" w:line="276" w:lineRule="auto"/>
        <w:jc w:val="both"/>
      </w:pPr>
      <w:r>
        <w:rPr>
          <w:rFonts w:ascii="Aptos" w:hAnsi="Aptos" w:eastAsia="Aptos"/>
          <w:b w:val="0"/>
          <w:i/>
          <w:color w:val="1F4E79"/>
          <w:sz w:val="22"/>
        </w:rPr>
        <w:t>Compressed thesis: if boundary-crossing reorganizes the state of wave propagation rather than merely attenuating it, then light-time inversion should leave measurable structure in systems that formally reproduce horizon-like behavior. If no such structure appears beyond the null model, the claim weakens sharply.</w:t>
      </w:r>
    </w:p>
    <w:p>
      <w:pPr>
        <w:spacing w:before="240" w:after="80"/>
      </w:pPr>
      <w:r>
        <w:rPr>
          <w:rFonts w:ascii="Aptos" w:hAnsi="Aptos" w:eastAsia="Aptos"/>
          <w:b/>
          <w:i w:val="0"/>
          <w:color w:val="1F4E79"/>
          <w:sz w:val="30"/>
        </w:rPr>
        <w:t>1. Exact claim</w:t>
      </w:r>
    </w:p>
    <w:p>
      <w:pPr>
        <w:spacing w:after="40" w:before="0" w:line="276" w:lineRule="auto"/>
        <w:jc w:val="left"/>
      </w:pPr>
      <w:r>
        <w:rPr>
          <w:rFonts w:ascii="Aptos" w:hAnsi="Aptos" w:eastAsia="Aptos"/>
          <w:b/>
          <w:i w:val="0"/>
          <w:color w:val="262626"/>
          <w:sz w:val="22"/>
        </w:rPr>
        <w:t>Working form:</w:t>
      </w:r>
    </w:p>
    <w:p>
      <w:pPr>
        <w:spacing w:after="160"/>
        <w:jc w:val="center"/>
      </w:pPr>
      <w:r>
        <w:rPr>
          <w:rFonts w:ascii="Aptos" w:hAnsi="Aptos" w:eastAsia="Aptos"/>
          <w:b/>
          <w:i w:val="0"/>
          <w:color w:val="262626"/>
          <w:sz w:val="30"/>
        </w:rPr>
        <w:t>sgn(dT / dλ) ~ sgn(dL / dχ)</w:t>
      </w:r>
    </w:p>
    <w:p>
      <w:pPr>
        <w:spacing w:after="120" w:before="0" w:line="276" w:lineRule="auto"/>
        <w:jc w:val="both"/>
      </w:pPr>
      <w:r>
        <w:rPr>
          <w:rFonts w:ascii="Aptos" w:hAnsi="Aptos" w:eastAsia="Aptos"/>
          <w:b w:val="0"/>
          <w:i w:val="0"/>
          <w:color w:val="262626"/>
          <w:sz w:val="22"/>
        </w:rPr>
        <w:t>Interpretation: temporal orientation is hypothesized to track light-state orientation across certain boundary regimes. This is not a claim that all local clocks run backward, nor that classical causality is globally overturned. It is a narrower claim that at structured boundaries, especially horizon-like ones, the descriptive class of propagation may shift in a way that forward-time observation systematically hides and inversion-sensitive observation can partially reveal.</w:t>
      </w:r>
    </w:p>
    <w:tbl>
      <w:tblPr>
        <w:tblW w:type="auto" w:w="0"/>
        <w:jc w:val="center"/>
        <w:tblLook w:firstColumn="1" w:firstRow="1" w:lastColumn="0" w:lastRow="0" w:noHBand="0" w:noVBand="1" w:val="04A0"/>
      </w:tblPr>
      <w:tblGrid>
        <w:gridCol w:w="9792"/>
      </w:tblGrid>
      <w:tr>
        <w:tc>
          <w:tcPr>
            <w:tcW w:type="dxa" w:w="9792"/>
            <w:shd w:fill="F4F7FB"/>
            <w:tcMar>
              <w:top w:w="120" w:type="dxa"/>
              <w:start w:w="140" w:type="dxa"/>
              <w:bottom w:w="110" w:type="dxa"/>
              <w:end w:w="140" w:type="dxa"/>
            </w:tcMar>
            <w:vAlign w:val="center"/>
          </w:tcPr>
          <w:p>
            <w:pPr>
              <w:spacing w:after="40"/>
            </w:pPr>
            <w:r>
              <w:rPr>
                <w:rFonts w:ascii="Aptos" w:hAnsi="Aptos" w:eastAsia="Aptos"/>
                <w:b/>
                <w:i w:val="0"/>
                <w:color w:val="1F4E79"/>
                <w:sz w:val="21"/>
              </w:rPr>
              <w:t>What is being claimed</w:t>
            </w:r>
          </w:p>
          <w:p>
            <w:pPr>
              <w:spacing w:after="0"/>
            </w:pPr>
            <w:r>
              <w:rPr>
                <w:rFonts w:ascii="Aptos" w:hAnsi="Aptos" w:eastAsia="Aptos"/>
                <w:b w:val="0"/>
                <w:i w:val="0"/>
                <w:color w:val="262626"/>
                <w:sz w:val="21"/>
              </w:rPr>
              <w:t>A regime-sensitive coupling: in some boundary conditions, the same signal is not simply weaker or delayed after crossing; its phase and temporal organization may be re-expressed.</w:t>
            </w:r>
          </w:p>
        </w:tc>
      </w:tr>
    </w:tbl>
    <w:p>
      <w:pPr>
        <w:spacing w:after="40"/>
      </w:pPr>
    </w:p>
    <w:tbl>
      <w:tblPr>
        <w:tblW w:type="auto" w:w="0"/>
        <w:jc w:val="center"/>
        <w:tblLook w:firstColumn="1" w:firstRow="1" w:lastColumn="0" w:lastRow="0" w:noHBand="0" w:noVBand="1" w:val="04A0"/>
      </w:tblPr>
      <w:tblGrid>
        <w:gridCol w:w="9792"/>
      </w:tblGrid>
      <w:tr>
        <w:tc>
          <w:tcPr>
            <w:tcW w:type="dxa" w:w="9792"/>
            <w:shd w:fill="F4F7FB"/>
            <w:tcMar>
              <w:top w:w="120" w:type="dxa"/>
              <w:start w:w="140" w:type="dxa"/>
              <w:bottom w:w="110" w:type="dxa"/>
              <w:end w:w="140" w:type="dxa"/>
            </w:tcMar>
            <w:vAlign w:val="center"/>
          </w:tcPr>
          <w:p>
            <w:pPr>
              <w:spacing w:after="40"/>
            </w:pPr>
            <w:r>
              <w:rPr>
                <w:rFonts w:ascii="Aptos" w:hAnsi="Aptos" w:eastAsia="Aptos"/>
                <w:b/>
                <w:i w:val="0"/>
                <w:color w:val="1F4E79"/>
                <w:sz w:val="21"/>
              </w:rPr>
              <w:t>What is not being claimed</w:t>
            </w:r>
          </w:p>
          <w:p>
            <w:pPr>
              <w:spacing w:after="0"/>
            </w:pPr>
            <w:r>
              <w:rPr>
                <w:rFonts w:ascii="Aptos" w:hAnsi="Aptos" w:eastAsia="Aptos"/>
                <w:b w:val="0"/>
                <w:i w:val="0"/>
                <w:color w:val="262626"/>
                <w:sz w:val="21"/>
              </w:rPr>
              <w:t>Not a blanket statement that macroscopic everyday time reverses. Not a proof of cosmology from an analog lab. Not a replacement for GR or QFT in their successful domains.</w:t>
            </w:r>
          </w:p>
        </w:tc>
      </w:tr>
    </w:tbl>
    <w:p>
      <w:pPr>
        <w:spacing w:after="40"/>
      </w:pPr>
    </w:p>
    <w:p>
      <w:pPr>
        <w:spacing w:before="240" w:after="80"/>
      </w:pPr>
      <w:r>
        <w:rPr>
          <w:rFonts w:ascii="Aptos" w:hAnsi="Aptos" w:eastAsia="Aptos"/>
          <w:b/>
          <w:i w:val="0"/>
          <w:color w:val="1F4E79"/>
          <w:sz w:val="30"/>
        </w:rPr>
        <w:t>2. Minimal decomposition of the idea</w:t>
      </w:r>
    </w:p>
    <w:tbl>
      <w:tblPr>
        <w:tblStyle w:val="TableGrid"/>
        <w:tblW w:type="auto" w:w="0"/>
        <w:jc w:val="center"/>
        <w:tblLook w:firstColumn="1" w:firstRow="1" w:lastColumn="0" w:lastRow="0" w:noHBand="0" w:noVBand="1" w:val="04A0"/>
      </w:tblPr>
      <w:tblGrid>
        <w:gridCol w:w="4896"/>
        <w:gridCol w:w="4896"/>
      </w:tblGrid>
      <w:tr>
        <w:tc>
          <w:tcPr>
            <w:tcW w:type="dxa" w:w="4896"/>
            <w:shd w:fill="DCE6F1"/>
            <w:tcMar>
              <w:top w:w="90" w:type="dxa"/>
              <w:start w:w="110" w:type="dxa"/>
              <w:bottom w:w="90" w:type="dxa"/>
              <w:end w:w="110" w:type="dxa"/>
            </w:tcMar>
          </w:tcPr>
          <w:p>
            <w:r>
              <w:rPr>
                <w:rFonts w:ascii="Aptos" w:hAnsi="Aptos" w:eastAsia="Aptos"/>
                <w:b/>
                <w:i w:val="0"/>
                <w:color w:val="262626"/>
                <w:sz w:val="21"/>
              </w:rPr>
              <w:t>Section</w:t>
            </w:r>
          </w:p>
        </w:tc>
        <w:tc>
          <w:tcPr>
            <w:tcW w:type="dxa" w:w="4896"/>
            <w:shd w:fill="DCE6F1"/>
            <w:tcMar>
              <w:top w:w="90" w:type="dxa"/>
              <w:start w:w="110" w:type="dxa"/>
              <w:bottom w:w="90" w:type="dxa"/>
              <w:end w:w="110" w:type="dxa"/>
            </w:tcMar>
          </w:tcPr>
          <w:p>
            <w:r>
              <w:rPr>
                <w:rFonts w:ascii="Aptos" w:hAnsi="Aptos" w:eastAsia="Aptos"/>
                <w:b/>
                <w:i w:val="0"/>
                <w:color w:val="262626"/>
                <w:sz w:val="21"/>
              </w:rPr>
              <w:t>Working statement</w:t>
            </w:r>
          </w:p>
        </w:tc>
      </w:tr>
      <w:tr>
        <w:tc>
          <w:tcPr>
            <w:tcW w:type="dxa" w:w="4896"/>
            <w:tcMar>
              <w:top w:w="90" w:type="dxa"/>
              <w:start w:w="110" w:type="dxa"/>
              <w:bottom w:w="90" w:type="dxa"/>
              <w:end w:w="110" w:type="dxa"/>
            </w:tcMar>
            <w:vAlign w:val="center"/>
          </w:tcPr>
          <w:p>
            <w:pPr>
              <w:spacing w:after="0" w:line="264" w:lineRule="auto"/>
            </w:pPr>
            <w:r>
              <w:rPr>
                <w:rFonts w:ascii="Aptos" w:hAnsi="Aptos" w:eastAsia="Aptos"/>
                <w:b w:val="0"/>
                <w:i w:val="0"/>
                <w:color w:val="262626"/>
                <w:sz w:val="20"/>
              </w:rPr>
              <w:t>Foundational layer</w:t>
            </w:r>
          </w:p>
        </w:tc>
        <w:tc>
          <w:tcPr>
            <w:tcW w:type="dxa" w:w="4896"/>
            <w:tcMar>
              <w:top w:w="90" w:type="dxa"/>
              <w:start w:w="110" w:type="dxa"/>
              <w:bottom w:w="90" w:type="dxa"/>
              <w:end w:w="110" w:type="dxa"/>
            </w:tcMar>
            <w:vAlign w:val="center"/>
          </w:tcPr>
          <w:p>
            <w:pPr>
              <w:spacing w:after="0" w:line="264" w:lineRule="auto"/>
            </w:pPr>
            <w:r>
              <w:rPr>
                <w:rFonts w:ascii="Aptos" w:hAnsi="Aptos" w:eastAsia="Aptos"/>
                <w:b w:val="0"/>
                <w:i w:val="0"/>
                <w:color w:val="262626"/>
                <w:sz w:val="20"/>
              </w:rPr>
              <w:t>Boundaries are active regime translators rather than passive geometric edges.</w:t>
            </w:r>
          </w:p>
        </w:tc>
      </w:tr>
      <w:tr>
        <w:tc>
          <w:tcPr>
            <w:tcW w:type="dxa" w:w="4896"/>
            <w:tcMar>
              <w:top w:w="90" w:type="dxa"/>
              <w:start w:w="110" w:type="dxa"/>
              <w:bottom w:w="90" w:type="dxa"/>
              <w:end w:w="110" w:type="dxa"/>
            </w:tcMar>
            <w:vAlign w:val="center"/>
          </w:tcPr>
          <w:p>
            <w:pPr>
              <w:spacing w:after="0" w:line="264" w:lineRule="auto"/>
            </w:pPr>
            <w:r>
              <w:rPr>
                <w:rFonts w:ascii="Aptos" w:hAnsi="Aptos" w:eastAsia="Aptos"/>
                <w:b w:val="0"/>
                <w:i w:val="0"/>
                <w:color w:val="262626"/>
                <w:sz w:val="20"/>
              </w:rPr>
              <w:t>Kinematic layer</w:t>
            </w:r>
          </w:p>
        </w:tc>
        <w:tc>
          <w:tcPr>
            <w:tcW w:type="dxa" w:w="4896"/>
            <w:tcMar>
              <w:top w:w="90" w:type="dxa"/>
              <w:start w:w="110" w:type="dxa"/>
              <w:bottom w:w="90" w:type="dxa"/>
              <w:end w:w="110" w:type="dxa"/>
            </w:tcMar>
            <w:vAlign w:val="center"/>
          </w:tcPr>
          <w:p>
            <w:pPr>
              <w:spacing w:after="0" w:line="264" w:lineRule="auto"/>
            </w:pPr>
            <w:r>
              <w:rPr>
                <w:rFonts w:ascii="Aptos" w:hAnsi="Aptos" w:eastAsia="Aptos"/>
                <w:b w:val="0"/>
                <w:i w:val="0"/>
                <w:color w:val="262626"/>
                <w:sz w:val="20"/>
              </w:rPr>
              <w:t>Wave propagation near a horizon-like boundary can undergo structured reorganization, not only attenuation or shift.</w:t>
            </w:r>
          </w:p>
        </w:tc>
      </w:tr>
      <w:tr>
        <w:tc>
          <w:tcPr>
            <w:tcW w:type="dxa" w:w="4896"/>
            <w:tcMar>
              <w:top w:w="90" w:type="dxa"/>
              <w:start w:w="110" w:type="dxa"/>
              <w:bottom w:w="90" w:type="dxa"/>
              <w:end w:w="110" w:type="dxa"/>
            </w:tcMar>
            <w:vAlign w:val="center"/>
          </w:tcPr>
          <w:p>
            <w:pPr>
              <w:spacing w:after="0" w:line="264" w:lineRule="auto"/>
            </w:pPr>
            <w:r>
              <w:rPr>
                <w:rFonts w:ascii="Aptos" w:hAnsi="Aptos" w:eastAsia="Aptos"/>
                <w:b w:val="0"/>
                <w:i w:val="0"/>
                <w:color w:val="262626"/>
                <w:sz w:val="20"/>
              </w:rPr>
              <w:t>Observable layer</w:t>
            </w:r>
          </w:p>
        </w:tc>
        <w:tc>
          <w:tcPr>
            <w:tcW w:type="dxa" w:w="4896"/>
            <w:tcMar>
              <w:top w:w="90" w:type="dxa"/>
              <w:start w:w="110" w:type="dxa"/>
              <w:bottom w:w="90" w:type="dxa"/>
              <w:end w:w="110" w:type="dxa"/>
            </w:tcMar>
            <w:vAlign w:val="center"/>
          </w:tcPr>
          <w:p>
            <w:pPr>
              <w:spacing w:after="0" w:line="264" w:lineRule="auto"/>
            </w:pPr>
            <w:r>
              <w:rPr>
                <w:rFonts w:ascii="Aptos" w:hAnsi="Aptos" w:eastAsia="Aptos"/>
                <w:b w:val="0"/>
                <w:i w:val="0"/>
                <w:color w:val="262626"/>
                <w:sz w:val="20"/>
              </w:rPr>
              <w:t>That reorganization should appear as phase-linked, non-monotonic deviations relative to a matched control.</w:t>
            </w:r>
          </w:p>
        </w:tc>
      </w:tr>
      <w:tr>
        <w:tc>
          <w:tcPr>
            <w:tcW w:type="dxa" w:w="4896"/>
            <w:tcMar>
              <w:top w:w="90" w:type="dxa"/>
              <w:start w:w="110" w:type="dxa"/>
              <w:bottom w:w="90" w:type="dxa"/>
              <w:end w:w="110" w:type="dxa"/>
            </w:tcMar>
            <w:vAlign w:val="center"/>
          </w:tcPr>
          <w:p>
            <w:pPr>
              <w:spacing w:after="0" w:line="264" w:lineRule="auto"/>
            </w:pPr>
            <w:r>
              <w:rPr>
                <w:rFonts w:ascii="Aptos" w:hAnsi="Aptos" w:eastAsia="Aptos"/>
                <w:b w:val="0"/>
                <w:i w:val="0"/>
                <w:color w:val="262626"/>
                <w:sz w:val="20"/>
              </w:rPr>
              <w:t>Analog test layer</w:t>
            </w:r>
          </w:p>
        </w:tc>
        <w:tc>
          <w:tcPr>
            <w:tcW w:type="dxa" w:w="4896"/>
            <w:tcMar>
              <w:top w:w="90" w:type="dxa"/>
              <w:start w:w="110" w:type="dxa"/>
              <w:bottom w:w="90" w:type="dxa"/>
              <w:end w:w="110" w:type="dxa"/>
            </w:tcMar>
            <w:vAlign w:val="center"/>
          </w:tcPr>
          <w:p>
            <w:pPr>
              <w:spacing w:after="0" w:line="264" w:lineRule="auto"/>
            </w:pPr>
            <w:r>
              <w:rPr>
                <w:rFonts w:ascii="Aptos" w:hAnsi="Aptos" w:eastAsia="Aptos"/>
                <w:b w:val="0"/>
                <w:i w:val="0"/>
                <w:color w:val="262626"/>
                <w:sz w:val="20"/>
              </w:rPr>
              <w:t>Acoustic horizon systems can be used to ask whether time-reversal-sensitive structure appears beyond standard acoustic expectations.</w:t>
            </w:r>
          </w:p>
        </w:tc>
      </w:tr>
    </w:tbl>
    <w:p>
      <w:pPr>
        <w:spacing w:after="80"/>
      </w:pPr>
    </w:p>
    <w:p>
      <w:pPr>
        <w:spacing w:before="240" w:after="80"/>
      </w:pPr>
      <w:r>
        <w:rPr>
          <w:rFonts w:ascii="Aptos" w:hAnsi="Aptos" w:eastAsia="Aptos"/>
          <w:b/>
          <w:i w:val="0"/>
          <w:color w:val="1F4E79"/>
          <w:sz w:val="30"/>
        </w:rPr>
        <w:t>3. Strong null model</w:t>
      </w:r>
    </w:p>
    <w:p>
      <w:pPr>
        <w:spacing w:after="80" w:before="0" w:line="276" w:lineRule="auto"/>
        <w:jc w:val="both"/>
      </w:pPr>
      <w:r>
        <w:rPr>
          <w:rFonts w:ascii="Aptos" w:hAnsi="Aptos" w:eastAsia="Aptos"/>
          <w:b w:val="0"/>
          <w:i w:val="0"/>
          <w:color w:val="262626"/>
          <w:sz w:val="22"/>
        </w:rPr>
        <w:t>The hardest reviewer question is simple: what should ordinary physics predict first? The null model must therefore be stated before any R.U.T. interpretation.</w:t>
      </w:r>
    </w:p>
    <w:p>
      <w:pPr>
        <w:pStyle w:val="ListBullet"/>
        <w:spacing w:after="40" w:line="269" w:lineRule="auto"/>
      </w:pPr>
      <w:r>
        <w:rPr>
          <w:rFonts w:ascii="Aptos" w:hAnsi="Aptos" w:eastAsia="Aptos"/>
          <w:b w:val="0"/>
          <w:i w:val="0"/>
          <w:color w:val="262626"/>
          <w:sz w:val="21"/>
        </w:rPr>
        <w:t>All cross-horizon signal changes are fully attributable to attenuation, dispersion, turbulence, finite bandwidth, transducer response, and Doppler-class effects.</w:t>
      </w:r>
    </w:p>
    <w:p>
      <w:pPr>
        <w:pStyle w:val="ListBullet"/>
        <w:spacing w:after="40" w:line="269" w:lineRule="auto"/>
      </w:pPr>
      <w:r>
        <w:rPr>
          <w:rFonts w:ascii="Aptos" w:hAnsi="Aptos" w:eastAsia="Aptos"/>
          <w:b w:val="0"/>
          <w:i w:val="0"/>
          <w:color w:val="262626"/>
          <w:sz w:val="21"/>
        </w:rPr>
        <w:t>Any apparent time-reversal “gain” is a signal-processing artifact caused by filtering, phase wrapping, correlation inflation, or imperfect baseline correction.</w:t>
      </w:r>
    </w:p>
    <w:p>
      <w:pPr>
        <w:pStyle w:val="ListBullet"/>
        <w:spacing w:after="40" w:line="269" w:lineRule="auto"/>
      </w:pPr>
      <w:r>
        <w:rPr>
          <w:rFonts w:ascii="Aptos" w:hAnsi="Aptos" w:eastAsia="Aptos"/>
          <w:b w:val="0"/>
          <w:i w:val="0"/>
          <w:color w:val="262626"/>
          <w:sz w:val="21"/>
        </w:rPr>
        <w:t>No horizon-present condition should produce reversal similarity beyond the distribution obtained in horizon-absent matched controls, once standard corrections are applied.</w:t>
      </w:r>
    </w:p>
    <w:p>
      <w:pPr>
        <w:pStyle w:val="ListBullet"/>
        <w:spacing w:after="40" w:line="269" w:lineRule="auto"/>
      </w:pPr>
      <w:r>
        <w:rPr>
          <w:rFonts w:ascii="Aptos" w:hAnsi="Aptos" w:eastAsia="Aptos"/>
          <w:b w:val="0"/>
          <w:i w:val="0"/>
          <w:color w:val="262626"/>
          <w:sz w:val="21"/>
        </w:rPr>
        <w:t>Any non-monotonic phase structure is explainable by ordinary fluid/acoustic transfer characteristics rather than boundary-mediated temporal reorganization.</w:t>
      </w:r>
    </w:p>
    <w:tbl>
      <w:tblPr>
        <w:tblW w:type="auto" w:w="0"/>
        <w:jc w:val="center"/>
        <w:tblLook w:firstColumn="1" w:firstRow="1" w:lastColumn="0" w:lastRow="0" w:noHBand="0" w:noVBand="1" w:val="04A0"/>
      </w:tblPr>
      <w:tblGrid>
        <w:gridCol w:w="9792"/>
      </w:tblGrid>
      <w:tr>
        <w:tc>
          <w:tcPr>
            <w:tcW w:type="dxa" w:w="9792"/>
            <w:shd w:fill="F4F7FB"/>
            <w:tcMar>
              <w:top w:w="120" w:type="dxa"/>
              <w:start w:w="140" w:type="dxa"/>
              <w:bottom w:w="110" w:type="dxa"/>
              <w:end w:w="140" w:type="dxa"/>
            </w:tcMar>
            <w:vAlign w:val="center"/>
          </w:tcPr>
          <w:p>
            <w:pPr>
              <w:spacing w:after="40"/>
            </w:pPr>
            <w:r>
              <w:rPr>
                <w:rFonts w:ascii="Aptos" w:hAnsi="Aptos" w:eastAsia="Aptos"/>
                <w:b/>
                <w:i w:val="0"/>
                <w:color w:val="1F4E79"/>
                <w:sz w:val="21"/>
              </w:rPr>
              <w:t>Null-model decision rule</w:t>
            </w:r>
          </w:p>
          <w:p>
            <w:pPr>
              <w:spacing w:after="0"/>
            </w:pPr>
            <w:r>
              <w:rPr>
                <w:rFonts w:ascii="Aptos" w:hAnsi="Aptos" w:eastAsia="Aptos"/>
                <w:b w:val="0"/>
                <w:i w:val="0"/>
                <w:color w:val="262626"/>
                <w:sz w:val="21"/>
              </w:rPr>
              <w:t>If the horizon-present condition does not exceed the corrected control distribution on preregistered metrics by an error-bounded margin, the analog light-time inversion claim fails this test.</w:t>
            </w:r>
          </w:p>
        </w:tc>
      </w:tr>
    </w:tbl>
    <w:p>
      <w:pPr>
        <w:spacing w:after="40"/>
      </w:pPr>
    </w:p>
    <w:p>
      <w:pPr>
        <w:spacing w:before="240" w:after="80"/>
      </w:pPr>
      <w:r>
        <w:rPr>
          <w:rFonts w:ascii="Aptos" w:hAnsi="Aptos" w:eastAsia="Aptos"/>
          <w:b/>
          <w:i w:val="0"/>
          <w:color w:val="1F4E79"/>
          <w:sz w:val="30"/>
        </w:rPr>
        <w:t>4. Analog discriminator</w:t>
      </w:r>
    </w:p>
    <w:p>
      <w:pPr>
        <w:spacing w:after="100" w:before="0" w:line="276" w:lineRule="auto"/>
        <w:jc w:val="both"/>
      </w:pPr>
      <w:r>
        <w:rPr>
          <w:rFonts w:ascii="Aptos" w:hAnsi="Aptos" w:eastAsia="Aptos"/>
          <w:b w:val="0"/>
          <w:i w:val="0"/>
          <w:color w:val="262626"/>
          <w:sz w:val="22"/>
        </w:rPr>
        <w:t>The proposed analog environment is an acoustic black hole (“dumb hole”) configuration with stable horizon-present and horizon-absent matched channels. The point is not that sound is light. The point is that the long-wavelength propagation mathematics near the horizon is structurally analogous enough to ask whether a boundary-sensitive reorganization signature exists at all.</w:t>
      </w:r>
    </w:p>
    <w:p>
      <w:pPr>
        <w:spacing w:after="60" w:before="0" w:line="276" w:lineRule="auto"/>
        <w:jc w:val="left"/>
      </w:pPr>
      <w:r>
        <w:rPr>
          <w:rFonts w:ascii="Aptos" w:hAnsi="Aptos" w:eastAsia="Aptos"/>
          <w:b/>
          <w:i w:val="0"/>
          <w:color w:val="262626"/>
          <w:sz w:val="22"/>
        </w:rPr>
        <w:t>Core comparison:</w:t>
      </w:r>
    </w:p>
    <w:p>
      <w:pPr>
        <w:pStyle w:val="ListBullet"/>
        <w:spacing w:after="40" w:line="269" w:lineRule="auto"/>
      </w:pPr>
      <w:r>
        <w:rPr>
          <w:rFonts w:ascii="Aptos" w:hAnsi="Aptos" w:eastAsia="Aptos"/>
          <w:b w:val="0"/>
          <w:i w:val="0"/>
          <w:color w:val="262626"/>
          <w:sz w:val="21"/>
        </w:rPr>
        <w:t>Sub-horizon capture (behind the acoustic horizon)</w:t>
      </w:r>
    </w:p>
    <w:p>
      <w:pPr>
        <w:pStyle w:val="ListBullet"/>
        <w:spacing w:after="40" w:line="269" w:lineRule="auto"/>
      </w:pPr>
      <w:r>
        <w:rPr>
          <w:rFonts w:ascii="Aptos" w:hAnsi="Aptos" w:eastAsia="Aptos"/>
          <w:b w:val="0"/>
          <w:i w:val="0"/>
          <w:color w:val="262626"/>
          <w:sz w:val="21"/>
        </w:rPr>
        <w:t>Horizon-surface capture</w:t>
      </w:r>
    </w:p>
    <w:p>
      <w:pPr>
        <w:pStyle w:val="ListBullet"/>
        <w:spacing w:after="40" w:line="269" w:lineRule="auto"/>
      </w:pPr>
      <w:r>
        <w:rPr>
          <w:rFonts w:ascii="Aptos" w:hAnsi="Aptos" w:eastAsia="Aptos"/>
          <w:b w:val="0"/>
          <w:i w:val="0"/>
          <w:color w:val="262626"/>
          <w:sz w:val="21"/>
        </w:rPr>
        <w:t>Super-horizon capture</w:t>
      </w:r>
    </w:p>
    <w:p>
      <w:pPr>
        <w:pStyle w:val="ListBullet"/>
        <w:spacing w:after="40" w:line="269" w:lineRule="auto"/>
      </w:pPr>
      <w:r>
        <w:rPr>
          <w:rFonts w:ascii="Aptos" w:hAnsi="Aptos" w:eastAsia="Aptos"/>
          <w:b w:val="0"/>
          <w:i w:val="0"/>
          <w:color w:val="262626"/>
          <w:sz w:val="21"/>
        </w:rPr>
        <w:t>Matched subsonic control channel with no horizon</w:t>
      </w:r>
    </w:p>
    <w:p>
      <w:pPr>
        <w:spacing w:after="60" w:before="0" w:line="276" w:lineRule="auto"/>
        <w:jc w:val="left"/>
      </w:pPr>
      <w:r>
        <w:rPr>
          <w:rFonts w:ascii="Aptos" w:hAnsi="Aptos" w:eastAsia="Aptos"/>
          <w:b/>
          <w:i w:val="0"/>
          <w:color w:val="262626"/>
          <w:sz w:val="22"/>
        </w:rPr>
        <w:t>Signal classes:</w:t>
      </w:r>
    </w:p>
    <w:p>
      <w:pPr>
        <w:pStyle w:val="ListBullet"/>
        <w:spacing w:after="40" w:line="269" w:lineRule="auto"/>
      </w:pPr>
      <w:r>
        <w:rPr>
          <w:rFonts w:ascii="Aptos" w:hAnsi="Aptos" w:eastAsia="Aptos"/>
          <w:b w:val="0"/>
          <w:i w:val="0"/>
          <w:color w:val="262626"/>
          <w:sz w:val="21"/>
        </w:rPr>
        <w:t>Log sine sweeps - for frequency-dependent phase organization</w:t>
      </w:r>
    </w:p>
    <w:p>
      <w:pPr>
        <w:pStyle w:val="ListBullet"/>
        <w:spacing w:after="40" w:line="269" w:lineRule="auto"/>
      </w:pPr>
      <w:r>
        <w:rPr>
          <w:rFonts w:ascii="Aptos" w:hAnsi="Aptos" w:eastAsia="Aptos"/>
          <w:b w:val="0"/>
          <w:i w:val="0"/>
          <w:color w:val="262626"/>
          <w:sz w:val="21"/>
        </w:rPr>
        <w:t>Pulse trains - for envelope and timing reorganization</w:t>
      </w:r>
    </w:p>
    <w:p>
      <w:pPr>
        <w:pStyle w:val="ListBullet"/>
        <w:spacing w:after="40" w:line="269" w:lineRule="auto"/>
      </w:pPr>
      <w:r>
        <w:rPr>
          <w:rFonts w:ascii="Aptos" w:hAnsi="Aptos" w:eastAsia="Aptos"/>
          <w:b w:val="0"/>
          <w:i w:val="0"/>
          <w:color w:val="262626"/>
          <w:sz w:val="21"/>
        </w:rPr>
        <w:t>Broadband noise - for structure detection without imposing a preferred frequency pattern</w:t>
      </w:r>
    </w:p>
    <w:p>
      <w:pPr>
        <w:spacing w:before="240" w:after="80"/>
      </w:pPr>
      <w:r>
        <w:rPr>
          <w:rFonts w:ascii="Aptos" w:hAnsi="Aptos" w:eastAsia="Aptos"/>
          <w:b/>
          <w:i w:val="0"/>
          <w:color w:val="1F4E79"/>
          <w:sz w:val="30"/>
        </w:rPr>
        <w:t>5. Preregistered metrics</w:t>
      </w:r>
    </w:p>
    <w:tbl>
      <w:tblPr>
        <w:tblStyle w:val="TableGrid"/>
        <w:tblW w:type="auto" w:w="0"/>
        <w:jc w:val="center"/>
        <w:tblLook w:firstColumn="1" w:firstRow="1" w:lastColumn="0" w:lastRow="0" w:noHBand="0" w:noVBand="1" w:val="04A0"/>
      </w:tblPr>
      <w:tblGrid>
        <w:gridCol w:w="3264"/>
        <w:gridCol w:w="3264"/>
        <w:gridCol w:w="3264"/>
      </w:tblGrid>
      <w:tr>
        <w:tc>
          <w:tcPr>
            <w:tcW w:type="dxa" w:w="1944"/>
            <w:shd w:fill="DCE6F1"/>
            <w:tcMar>
              <w:top w:w="90" w:type="dxa"/>
              <w:start w:w="110" w:type="dxa"/>
              <w:bottom w:w="90" w:type="dxa"/>
              <w:end w:w="110" w:type="dxa"/>
            </w:tcMar>
          </w:tcPr>
          <w:p>
            <w:r>
              <w:rPr>
                <w:rFonts w:ascii="Aptos" w:hAnsi="Aptos" w:eastAsia="Aptos"/>
                <w:b/>
                <w:i w:val="0"/>
                <w:color w:val="262626"/>
                <w:sz w:val="20"/>
              </w:rPr>
              <w:t>Metric</w:t>
            </w:r>
          </w:p>
        </w:tc>
        <w:tc>
          <w:tcPr>
            <w:tcW w:type="dxa" w:w="3888"/>
            <w:shd w:fill="DCE6F1"/>
            <w:tcMar>
              <w:top w:w="90" w:type="dxa"/>
              <w:start w:w="110" w:type="dxa"/>
              <w:bottom w:w="90" w:type="dxa"/>
              <w:end w:w="110" w:type="dxa"/>
            </w:tcMar>
          </w:tcPr>
          <w:p>
            <w:r>
              <w:rPr>
                <w:rFonts w:ascii="Aptos" w:hAnsi="Aptos" w:eastAsia="Aptos"/>
                <w:b/>
                <w:i w:val="0"/>
                <w:color w:val="262626"/>
                <w:sz w:val="20"/>
              </w:rPr>
              <w:t>Purpose</w:t>
            </w:r>
          </w:p>
        </w:tc>
        <w:tc>
          <w:tcPr>
            <w:tcW w:type="dxa" w:w="3528"/>
            <w:shd w:fill="DCE6F1"/>
            <w:tcMar>
              <w:top w:w="90" w:type="dxa"/>
              <w:start w:w="110" w:type="dxa"/>
              <w:bottom w:w="90" w:type="dxa"/>
              <w:end w:w="110" w:type="dxa"/>
            </w:tcMar>
          </w:tcPr>
          <w:p>
            <w:r>
              <w:rPr>
                <w:rFonts w:ascii="Aptos" w:hAnsi="Aptos" w:eastAsia="Aptos"/>
                <w:b/>
                <w:i w:val="0"/>
                <w:color w:val="262626"/>
                <w:sz w:val="20"/>
              </w:rPr>
              <w:t>Failure mode to guard against</w:t>
            </w:r>
          </w:p>
        </w:tc>
      </w:tr>
      <w:tr>
        <w:tc>
          <w:tcPr>
            <w:tcW w:type="dxa" w:w="1944"/>
            <w:tcMar>
              <w:top w:w="90" w:type="dxa"/>
              <w:start w:w="110" w:type="dxa"/>
              <w:bottom w:w="90" w:type="dxa"/>
              <w:end w:w="110" w:type="dxa"/>
            </w:tcMar>
            <w:vAlign w:val="center"/>
          </w:tcPr>
          <w:p>
            <w:pPr>
              <w:spacing w:after="0" w:line="259" w:lineRule="auto"/>
            </w:pPr>
            <w:r>
              <w:rPr>
                <w:rFonts w:ascii="Aptos" w:hAnsi="Aptos" w:eastAsia="Aptos"/>
                <w:b w:val="0"/>
                <w:i w:val="0"/>
                <w:color w:val="262626"/>
                <w:sz w:val="19"/>
              </w:rPr>
              <w:t>Spectral envelope correlation</w:t>
            </w:r>
          </w:p>
        </w:tc>
        <w:tc>
          <w:tcPr>
            <w:tcW w:type="dxa" w:w="3888"/>
            <w:tcMar>
              <w:top w:w="90" w:type="dxa"/>
              <w:start w:w="110" w:type="dxa"/>
              <w:bottom w:w="90" w:type="dxa"/>
              <w:end w:w="110" w:type="dxa"/>
            </w:tcMar>
            <w:vAlign w:val="center"/>
          </w:tcPr>
          <w:p>
            <w:pPr>
              <w:spacing w:after="0" w:line="259" w:lineRule="auto"/>
            </w:pPr>
            <w:r>
              <w:rPr>
                <w:rFonts w:ascii="Aptos" w:hAnsi="Aptos" w:eastAsia="Aptos"/>
                <w:b w:val="0"/>
                <w:i w:val="0"/>
                <w:color w:val="262626"/>
                <w:sz w:val="19"/>
              </w:rPr>
              <w:t>Tests whether reversed sub-horizon signal aligns with forward super-horizon structure more than control permits.</w:t>
            </w:r>
          </w:p>
        </w:tc>
        <w:tc>
          <w:tcPr>
            <w:tcW w:type="dxa" w:w="3528"/>
            <w:tcMar>
              <w:top w:w="90" w:type="dxa"/>
              <w:start w:w="110" w:type="dxa"/>
              <w:bottom w:w="90" w:type="dxa"/>
              <w:end w:w="110" w:type="dxa"/>
            </w:tcMar>
            <w:vAlign w:val="center"/>
          </w:tcPr>
          <w:p>
            <w:pPr>
              <w:spacing w:after="0" w:line="259" w:lineRule="auto"/>
            </w:pPr>
            <w:r>
              <w:rPr>
                <w:rFonts w:ascii="Aptos" w:hAnsi="Aptos" w:eastAsia="Aptos"/>
                <w:b w:val="0"/>
                <w:i w:val="0"/>
                <w:color w:val="262626"/>
                <w:sz w:val="19"/>
              </w:rPr>
              <w:t>Inflation from broad smoothing or microphone coloration.</w:t>
            </w:r>
          </w:p>
        </w:tc>
      </w:tr>
      <w:tr>
        <w:tc>
          <w:tcPr>
            <w:tcW w:type="dxa" w:w="1944"/>
            <w:tcMar>
              <w:top w:w="90" w:type="dxa"/>
              <w:start w:w="110" w:type="dxa"/>
              <w:bottom w:w="90" w:type="dxa"/>
              <w:end w:w="110" w:type="dxa"/>
            </w:tcMar>
            <w:vAlign w:val="center"/>
          </w:tcPr>
          <w:p>
            <w:pPr>
              <w:spacing w:after="0" w:line="259" w:lineRule="auto"/>
            </w:pPr>
            <w:r>
              <w:rPr>
                <w:rFonts w:ascii="Aptos" w:hAnsi="Aptos" w:eastAsia="Aptos"/>
                <w:b w:val="0"/>
                <w:i w:val="0"/>
                <w:color w:val="262626"/>
                <w:sz w:val="19"/>
              </w:rPr>
              <w:t>Phase coherence index</w:t>
            </w:r>
          </w:p>
        </w:tc>
        <w:tc>
          <w:tcPr>
            <w:tcW w:type="dxa" w:w="3888"/>
            <w:tcMar>
              <w:top w:w="90" w:type="dxa"/>
              <w:start w:w="110" w:type="dxa"/>
              <w:bottom w:w="90" w:type="dxa"/>
              <w:end w:w="110" w:type="dxa"/>
            </w:tcMar>
            <w:vAlign w:val="center"/>
          </w:tcPr>
          <w:p>
            <w:pPr>
              <w:spacing w:after="0" w:line="259" w:lineRule="auto"/>
            </w:pPr>
            <w:r>
              <w:rPr>
                <w:rFonts w:ascii="Aptos" w:hAnsi="Aptos" w:eastAsia="Aptos"/>
                <w:b w:val="0"/>
                <w:i w:val="0"/>
                <w:color w:val="262626"/>
                <w:sz w:val="19"/>
              </w:rPr>
              <w:t>Tests whether the horizon condition preserves or reorganizes phase relations in a structured way.</w:t>
            </w:r>
          </w:p>
        </w:tc>
        <w:tc>
          <w:tcPr>
            <w:tcW w:type="dxa" w:w="3528"/>
            <w:tcMar>
              <w:top w:w="90" w:type="dxa"/>
              <w:start w:w="110" w:type="dxa"/>
              <w:bottom w:w="90" w:type="dxa"/>
              <w:end w:w="110" w:type="dxa"/>
            </w:tcMar>
            <w:vAlign w:val="center"/>
          </w:tcPr>
          <w:p>
            <w:pPr>
              <w:spacing w:after="0" w:line="259" w:lineRule="auto"/>
            </w:pPr>
            <w:r>
              <w:rPr>
                <w:rFonts w:ascii="Aptos" w:hAnsi="Aptos" w:eastAsia="Aptos"/>
                <w:b w:val="0"/>
                <w:i w:val="0"/>
                <w:color w:val="262626"/>
                <w:sz w:val="19"/>
              </w:rPr>
              <w:t>Spurious phase locking from preprocessing or aliasing.</w:t>
            </w:r>
          </w:p>
        </w:tc>
      </w:tr>
      <w:tr>
        <w:tc>
          <w:tcPr>
            <w:tcW w:type="dxa" w:w="1944"/>
            <w:tcMar>
              <w:top w:w="90" w:type="dxa"/>
              <w:start w:w="110" w:type="dxa"/>
              <w:bottom w:w="90" w:type="dxa"/>
              <w:end w:w="110" w:type="dxa"/>
            </w:tcMar>
            <w:vAlign w:val="center"/>
          </w:tcPr>
          <w:p>
            <w:pPr>
              <w:spacing w:after="0" w:line="259" w:lineRule="auto"/>
            </w:pPr>
            <w:r>
              <w:rPr>
                <w:rFonts w:ascii="Aptos" w:hAnsi="Aptos" w:eastAsia="Aptos"/>
                <w:b w:val="0"/>
                <w:i w:val="0"/>
                <w:color w:val="262626"/>
                <w:sz w:val="19"/>
              </w:rPr>
              <w:t>Transient / formant similarity</w:t>
            </w:r>
          </w:p>
        </w:tc>
        <w:tc>
          <w:tcPr>
            <w:tcW w:type="dxa" w:w="3888"/>
            <w:tcMar>
              <w:top w:w="90" w:type="dxa"/>
              <w:start w:w="110" w:type="dxa"/>
              <w:bottom w:w="90" w:type="dxa"/>
              <w:end w:w="110" w:type="dxa"/>
            </w:tcMar>
            <w:vAlign w:val="center"/>
          </w:tcPr>
          <w:p>
            <w:pPr>
              <w:spacing w:after="0" w:line="259" w:lineRule="auto"/>
            </w:pPr>
            <w:r>
              <w:rPr>
                <w:rFonts w:ascii="Aptos" w:hAnsi="Aptos" w:eastAsia="Aptos"/>
                <w:b w:val="0"/>
                <w:i w:val="0"/>
                <w:color w:val="262626"/>
                <w:sz w:val="19"/>
              </w:rPr>
              <w:t>Tests whether attacks, releases, and localized spectral shapes become more interpretable under reversal.</w:t>
            </w:r>
          </w:p>
        </w:tc>
        <w:tc>
          <w:tcPr>
            <w:tcW w:type="dxa" w:w="3528"/>
            <w:tcMar>
              <w:top w:w="90" w:type="dxa"/>
              <w:start w:w="110" w:type="dxa"/>
              <w:bottom w:w="90" w:type="dxa"/>
              <w:end w:w="110" w:type="dxa"/>
            </w:tcMar>
            <w:vAlign w:val="center"/>
          </w:tcPr>
          <w:p>
            <w:pPr>
              <w:spacing w:after="0" w:line="259" w:lineRule="auto"/>
            </w:pPr>
            <w:r>
              <w:rPr>
                <w:rFonts w:ascii="Aptos" w:hAnsi="Aptos" w:eastAsia="Aptos"/>
                <w:b w:val="0"/>
                <w:i w:val="0"/>
                <w:color w:val="262626"/>
                <w:sz w:val="19"/>
              </w:rPr>
              <w:t>Human cherry-picking of interesting examples rather than blind scoring.</w:t>
            </w:r>
          </w:p>
        </w:tc>
      </w:tr>
    </w:tbl>
    <w:p>
      <w:pPr>
        <w:spacing w:after="80"/>
      </w:pPr>
    </w:p>
    <w:tbl>
      <w:tblPr>
        <w:tblW w:type="auto" w:w="0"/>
        <w:jc w:val="center"/>
        <w:tblLook w:firstColumn="1" w:firstRow="1" w:lastColumn="0" w:lastRow="0" w:noHBand="0" w:noVBand="1" w:val="04A0"/>
      </w:tblPr>
      <w:tblGrid>
        <w:gridCol w:w="9792"/>
      </w:tblGrid>
      <w:tr>
        <w:tc>
          <w:tcPr>
            <w:tcW w:type="dxa" w:w="9792"/>
            <w:shd w:fill="F4F7FB"/>
            <w:tcMar>
              <w:top w:w="120" w:type="dxa"/>
              <w:start w:w="140" w:type="dxa"/>
              <w:bottom w:w="110" w:type="dxa"/>
              <w:end w:w="140" w:type="dxa"/>
            </w:tcMar>
            <w:vAlign w:val="center"/>
          </w:tcPr>
          <w:p>
            <w:pPr>
              <w:spacing w:after="40"/>
            </w:pPr>
            <w:r>
              <w:rPr>
                <w:rFonts w:ascii="Aptos" w:hAnsi="Aptos" w:eastAsia="Aptos"/>
                <w:b/>
                <w:i w:val="0"/>
                <w:color w:val="1F4E79"/>
                <w:sz w:val="21"/>
              </w:rPr>
              <w:t>Primary discriminator</w:t>
            </w:r>
          </w:p>
          <w:p>
            <w:pPr>
              <w:spacing w:after="0"/>
            </w:pPr>
            <w:r>
              <w:rPr>
                <w:rFonts w:ascii="Aptos" w:hAnsi="Aptos" w:eastAsia="Aptos"/>
                <w:b w:val="0"/>
                <w:i w:val="0"/>
                <w:color w:val="262626"/>
                <w:sz w:val="21"/>
              </w:rPr>
              <w:t>Reversal similarity in the horizon-present condition must exceed reversal similarity in the horizon-absent control outside measurement error and under the same correction workflow. That is the narrowest meaningful test.</w:t>
            </w:r>
          </w:p>
        </w:tc>
      </w:tr>
    </w:tbl>
    <w:p>
      <w:pPr>
        <w:spacing w:after="40"/>
      </w:pPr>
    </w:p>
    <w:p>
      <w:pPr>
        <w:spacing w:before="240" w:after="80"/>
      </w:pPr>
      <w:r>
        <w:rPr>
          <w:rFonts w:ascii="Aptos" w:hAnsi="Aptos" w:eastAsia="Aptos"/>
          <w:b/>
          <w:i w:val="0"/>
          <w:color w:val="1F4E79"/>
          <w:sz w:val="30"/>
        </w:rPr>
        <w:t>6. Falsification outcomes</w:t>
      </w:r>
    </w:p>
    <w:p>
      <w:pPr>
        <w:pStyle w:val="ListBullet"/>
        <w:spacing w:after="40" w:line="269" w:lineRule="auto"/>
      </w:pPr>
      <w:r>
        <w:rPr>
          <w:rFonts w:ascii="Aptos" w:hAnsi="Aptos" w:eastAsia="Aptos"/>
          <w:b w:val="0"/>
          <w:i w:val="0"/>
          <w:color w:val="262626"/>
          <w:sz w:val="21"/>
        </w:rPr>
        <w:t>Clean negative: ordinary corrections explain the full signal difference; no excess reversal similarity appears. This weakens the analog light-time inversion claim sharply.</w:t>
      </w:r>
    </w:p>
    <w:p>
      <w:pPr>
        <w:pStyle w:val="ListBullet"/>
        <w:spacing w:after="40" w:line="269" w:lineRule="auto"/>
      </w:pPr>
      <w:r>
        <w:rPr>
          <w:rFonts w:ascii="Aptos" w:hAnsi="Aptos" w:eastAsia="Aptos"/>
          <w:b w:val="0"/>
          <w:i w:val="0"/>
          <w:color w:val="262626"/>
          <w:sz w:val="21"/>
        </w:rPr>
        <w:t>Partial result: some boundary reorganization appears, but not the temporal asymmetry signature. This supports further study of boundary structure without validating inversion.</w:t>
      </w:r>
    </w:p>
    <w:p>
      <w:pPr>
        <w:pStyle w:val="ListBullet"/>
        <w:spacing w:after="40" w:line="269" w:lineRule="auto"/>
      </w:pPr>
      <w:r>
        <w:rPr>
          <w:rFonts w:ascii="Aptos" w:hAnsi="Aptos" w:eastAsia="Aptos"/>
          <w:b w:val="0"/>
          <w:i w:val="0"/>
          <w:color w:val="262626"/>
          <w:sz w:val="21"/>
        </w:rPr>
        <w:t>Positive result: horizon-present reversal similarity exceeds control under preregistered metrics and survives artifact checks. This does not prove the full cosmological framework, but it provides bounded evidence for boundary-mediated temporal reorganization.</w:t>
      </w:r>
    </w:p>
    <w:p>
      <w:pPr>
        <w:spacing w:before="240" w:after="80"/>
      </w:pPr>
      <w:r>
        <w:rPr>
          <w:rFonts w:ascii="Aptos" w:hAnsi="Aptos" w:eastAsia="Aptos"/>
          <w:b/>
          <w:i w:val="0"/>
          <w:color w:val="1F4E79"/>
          <w:sz w:val="30"/>
        </w:rPr>
        <w:t>7. Immediate derivation tasks if the analog survives</w:t>
      </w:r>
    </w:p>
    <w:p>
      <w:pPr>
        <w:pStyle w:val="ListBullet"/>
        <w:spacing w:after="40" w:line="269" w:lineRule="auto"/>
      </w:pPr>
      <w:r>
        <w:rPr>
          <w:rFonts w:ascii="Aptos" w:hAnsi="Aptos" w:eastAsia="Aptos"/>
          <w:b w:val="0"/>
          <w:i w:val="0"/>
          <w:color w:val="262626"/>
          <w:sz w:val="21"/>
        </w:rPr>
        <w:t>Derive why a periodic or inversion-sensitive observable correction should arise from the underlying action rather than being stipulated post hoc.</w:t>
      </w:r>
    </w:p>
    <w:p>
      <w:pPr>
        <w:pStyle w:val="ListBullet"/>
        <w:spacing w:after="40" w:line="269" w:lineRule="auto"/>
      </w:pPr>
      <w:r>
        <w:rPr>
          <w:rFonts w:ascii="Aptos" w:hAnsi="Aptos" w:eastAsia="Aptos"/>
          <w:b w:val="0"/>
          <w:i w:val="0"/>
          <w:color w:val="262626"/>
          <w:sz w:val="21"/>
        </w:rPr>
        <w:t>Define the boundary operator with a cleaner order parameter and show how it enters an EFT-like bridge law.</w:t>
      </w:r>
    </w:p>
    <w:p>
      <w:pPr>
        <w:pStyle w:val="ListBullet"/>
        <w:spacing w:after="40" w:line="269" w:lineRule="auto"/>
      </w:pPr>
      <w:r>
        <w:rPr>
          <w:rFonts w:ascii="Aptos" w:hAnsi="Aptos" w:eastAsia="Aptos"/>
          <w:b w:val="0"/>
          <w:i w:val="0"/>
          <w:color w:val="262626"/>
          <w:sz w:val="21"/>
        </w:rPr>
        <w:t>State the exact observational consequence of the light-time inversion principle in a cosmological setting before expanding the theory outward.</w:t>
      </w:r>
    </w:p>
    <w:p>
      <w:pPr>
        <w:pStyle w:val="ListBullet"/>
        <w:spacing w:after="40" w:line="269" w:lineRule="auto"/>
      </w:pPr>
      <w:r>
        <w:rPr>
          <w:rFonts w:ascii="Aptos" w:hAnsi="Aptos" w:eastAsia="Aptos"/>
          <w:b w:val="0"/>
          <w:i w:val="0"/>
          <w:color w:val="262626"/>
          <w:sz w:val="21"/>
        </w:rPr>
        <w:t>Preserve the kill-switch: if stronger controls absorb the effect, the architectural claim must narrow accordingly.</w:t>
      </w:r>
    </w:p>
    <w:p>
      <w:pPr>
        <w:spacing w:before="240" w:after="80"/>
      </w:pPr>
      <w:r>
        <w:rPr>
          <w:rFonts w:ascii="Aptos" w:hAnsi="Aptos" w:eastAsia="Aptos"/>
          <w:b/>
          <w:i w:val="0"/>
          <w:color w:val="1F4E79"/>
          <w:sz w:val="30"/>
        </w:rPr>
        <w:t>8. Closing position</w:t>
      </w:r>
    </w:p>
    <w:p>
      <w:pPr>
        <w:spacing w:after="120" w:before="0" w:line="276" w:lineRule="auto"/>
        <w:jc w:val="both"/>
      </w:pPr>
      <w:r>
        <w:rPr>
          <w:rFonts w:ascii="Aptos" w:hAnsi="Aptos" w:eastAsia="Aptos"/>
          <w:b w:val="0"/>
          <w:i w:val="0"/>
          <w:color w:val="262626"/>
          <w:sz w:val="22"/>
        </w:rPr>
        <w:t>The value of this note is not that it makes the idea grander. It makes the idea riskier. That is the point. If light-time inversion is real, it should be able to survive compression into a smaller claim, a stronger null model, and a bounded analog test. If it cannot survive that compression, it does not yet deserve broader metaphysical weight.</w:t>
      </w:r>
    </w:p>
    <w:p>
      <w:pPr>
        <w:spacing w:after="200" w:before="0" w:line="276" w:lineRule="auto"/>
        <w:jc w:val="both"/>
      </w:pPr>
      <w:r>
        <w:rPr>
          <w:rFonts w:ascii="Aptos" w:hAnsi="Aptos" w:eastAsia="Aptos"/>
          <w:b w:val="0"/>
          <w:i/>
          <w:color w:val="1F4E79"/>
          <w:sz w:val="22"/>
        </w:rPr>
        <w:t>A reviewer should be able to walk away with a simple judgment: there is one exact claim here, one ordinary null model, one analog discriminator, and one explicit route to failure.</w:t>
      </w:r>
    </w:p>
    <w:p>
      <w:pPr>
        <w:jc w:val="center"/>
      </w:pPr>
      <w:r>
        <w:rPr>
          <w:rFonts w:ascii="Aptos" w:hAnsi="Aptos" w:eastAsia="Aptos"/>
          <w:b w:val="0"/>
          <w:i w:val="0"/>
          <w:color w:val="5A5A5A"/>
          <w:sz w:val="21"/>
        </w:rPr>
        <w:t>Mark "Question Mark" Van Dyk  -  Reverse Universe Theory (R.U.T.)</w:t>
      </w:r>
    </w:p>
    <w:sectPr w:rsidR="00FC693F" w:rsidRPr="0006063C" w:rsidSect="00034616">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