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0B1FE" w14:textId="2EDBAB56" w:rsidR="00C57A1E" w:rsidRPr="00C57A1E" w:rsidRDefault="00C57A1E" w:rsidP="00C57A1E">
      <w:pPr>
        <w:spacing w:line="360" w:lineRule="auto"/>
        <w:rPr>
          <w:rFonts w:ascii="Times New Roman" w:hAnsi="Times New Roman" w:cs="Times New Roman"/>
          <w:sz w:val="24"/>
          <w:szCs w:val="24"/>
        </w:rPr>
      </w:pPr>
      <w:r w:rsidRPr="00C57A1E">
        <w:t xml:space="preserve">1. </w:t>
      </w:r>
      <w:r w:rsidRPr="00CA4A3B">
        <w:rPr>
          <w:b/>
          <w:bCs/>
        </w:rPr>
        <w:t>Your accepted abstract title</w:t>
      </w:r>
      <w:r w:rsidRPr="00CA4A3B">
        <w:rPr>
          <w:b/>
          <w:bCs/>
        </w:rPr>
        <w:t>:</w:t>
      </w:r>
      <w:r>
        <w:t xml:space="preserve">  </w:t>
      </w:r>
      <w:r w:rsidRPr="00C57A1E">
        <w:rPr>
          <w:rFonts w:ascii="Times New Roman" w:hAnsi="Times New Roman" w:cs="Times New Roman"/>
          <w:sz w:val="24"/>
          <w:szCs w:val="24"/>
          <w:lang w:val="en-US"/>
        </w:rPr>
        <w:t>Targeting ocular WHO priority Multidrug and extensively drug-resistant Gram-negative pathogens by combining conventional antimicrobials with membrane-active peptides</w:t>
      </w:r>
    </w:p>
    <w:p w14:paraId="1F77393B" w14:textId="63193CCE" w:rsidR="00C57A1E" w:rsidRPr="00CA4A3B" w:rsidRDefault="00C57A1E" w:rsidP="00C57A1E">
      <w:pPr>
        <w:rPr>
          <w:b/>
          <w:bCs/>
        </w:rPr>
      </w:pPr>
    </w:p>
    <w:p w14:paraId="5BAA269C" w14:textId="77777777" w:rsidR="00CA4A3B" w:rsidRPr="00D17845" w:rsidRDefault="00C57A1E" w:rsidP="00CA4A3B">
      <w:pPr>
        <w:spacing w:line="360" w:lineRule="auto"/>
        <w:jc w:val="both"/>
        <w:rPr>
          <w:rFonts w:ascii="Times New Roman" w:hAnsi="Times New Roman" w:cs="Times New Roman"/>
          <w:sz w:val="24"/>
          <w:szCs w:val="24"/>
        </w:rPr>
      </w:pPr>
      <w:r w:rsidRPr="00CA4A3B">
        <w:rPr>
          <w:b/>
          <w:bCs/>
        </w:rPr>
        <w:t>2. A brief description of poster</w:t>
      </w:r>
      <w:r w:rsidR="00CA4A3B" w:rsidRPr="00CA4A3B">
        <w:rPr>
          <w:b/>
          <w:bCs/>
        </w:rPr>
        <w:t>:</w:t>
      </w:r>
      <w:r w:rsidR="00CA4A3B">
        <w:t xml:space="preserve"> </w:t>
      </w:r>
      <w:r w:rsidR="00CA4A3B" w:rsidRPr="00D17845">
        <w:rPr>
          <w:rFonts w:ascii="Times New Roman" w:hAnsi="Times New Roman" w:cs="Times New Roman"/>
          <w:sz w:val="24"/>
          <w:szCs w:val="24"/>
        </w:rPr>
        <w:t xml:space="preserve">This study aimed to evaluate whether membrane-active peptides, including Mel4 and colistin, can enhance the activity of conventional antimicrobials against multidrug-resistant and extensively drug-resistant Gram-negative ocular pathogens. Using clinically relevant ocular isolates, including </w:t>
      </w:r>
      <w:r w:rsidR="00CA4A3B" w:rsidRPr="00D17845">
        <w:rPr>
          <w:rFonts w:ascii="Times New Roman" w:hAnsi="Times New Roman" w:cs="Times New Roman"/>
          <w:i/>
          <w:iCs/>
          <w:sz w:val="24"/>
          <w:szCs w:val="24"/>
        </w:rPr>
        <w:t>P</w:t>
      </w:r>
      <w:r w:rsidR="00CA4A3B">
        <w:rPr>
          <w:rFonts w:ascii="Times New Roman" w:hAnsi="Times New Roman" w:cs="Times New Roman"/>
          <w:i/>
          <w:iCs/>
          <w:sz w:val="24"/>
          <w:szCs w:val="24"/>
        </w:rPr>
        <w:t>.</w:t>
      </w:r>
      <w:r w:rsidR="00CA4A3B" w:rsidRPr="00D17845">
        <w:rPr>
          <w:rFonts w:ascii="Times New Roman" w:hAnsi="Times New Roman" w:cs="Times New Roman"/>
          <w:i/>
          <w:iCs/>
          <w:sz w:val="24"/>
          <w:szCs w:val="24"/>
        </w:rPr>
        <w:t xml:space="preserve"> aeruginosa</w:t>
      </w:r>
      <w:r w:rsidR="00CA4A3B" w:rsidRPr="00D17845">
        <w:rPr>
          <w:rFonts w:ascii="Times New Roman" w:hAnsi="Times New Roman" w:cs="Times New Roman"/>
          <w:sz w:val="24"/>
          <w:szCs w:val="24"/>
        </w:rPr>
        <w:t xml:space="preserve">, </w:t>
      </w:r>
      <w:r w:rsidR="00CA4A3B" w:rsidRPr="00D17845">
        <w:rPr>
          <w:rFonts w:ascii="Times New Roman" w:hAnsi="Times New Roman" w:cs="Times New Roman"/>
          <w:i/>
          <w:iCs/>
          <w:sz w:val="24"/>
          <w:szCs w:val="24"/>
        </w:rPr>
        <w:t>A</w:t>
      </w:r>
      <w:r w:rsidR="00CA4A3B">
        <w:rPr>
          <w:rFonts w:ascii="Times New Roman" w:hAnsi="Times New Roman" w:cs="Times New Roman"/>
          <w:i/>
          <w:iCs/>
          <w:sz w:val="24"/>
          <w:szCs w:val="24"/>
        </w:rPr>
        <w:t>.</w:t>
      </w:r>
      <w:r w:rsidR="00CA4A3B" w:rsidRPr="00D17845">
        <w:rPr>
          <w:rFonts w:ascii="Times New Roman" w:hAnsi="Times New Roman" w:cs="Times New Roman"/>
          <w:i/>
          <w:iCs/>
          <w:sz w:val="24"/>
          <w:szCs w:val="24"/>
        </w:rPr>
        <w:t xml:space="preserve"> baumannii</w:t>
      </w:r>
      <w:r w:rsidR="00CA4A3B" w:rsidRPr="00D17845">
        <w:rPr>
          <w:rFonts w:ascii="Times New Roman" w:hAnsi="Times New Roman" w:cs="Times New Roman"/>
          <w:sz w:val="24"/>
          <w:szCs w:val="24"/>
        </w:rPr>
        <w:t xml:space="preserve">, and </w:t>
      </w:r>
      <w:r w:rsidR="00CA4A3B" w:rsidRPr="00D17845">
        <w:rPr>
          <w:rFonts w:ascii="Times New Roman" w:hAnsi="Times New Roman" w:cs="Times New Roman"/>
          <w:i/>
          <w:iCs/>
          <w:sz w:val="24"/>
          <w:szCs w:val="24"/>
        </w:rPr>
        <w:t>K</w:t>
      </w:r>
      <w:r w:rsidR="00CA4A3B">
        <w:rPr>
          <w:rFonts w:ascii="Times New Roman" w:hAnsi="Times New Roman" w:cs="Times New Roman"/>
          <w:i/>
          <w:iCs/>
          <w:sz w:val="24"/>
          <w:szCs w:val="24"/>
        </w:rPr>
        <w:t>.</w:t>
      </w:r>
      <w:r w:rsidR="00CA4A3B" w:rsidRPr="00D17845">
        <w:rPr>
          <w:rFonts w:ascii="Times New Roman" w:hAnsi="Times New Roman" w:cs="Times New Roman"/>
          <w:i/>
          <w:iCs/>
          <w:sz w:val="24"/>
          <w:szCs w:val="24"/>
        </w:rPr>
        <w:t xml:space="preserve"> pneumoniae</w:t>
      </w:r>
      <w:r w:rsidR="00CA4A3B" w:rsidRPr="00D17845">
        <w:rPr>
          <w:rFonts w:ascii="Times New Roman" w:hAnsi="Times New Roman" w:cs="Times New Roman"/>
          <w:sz w:val="24"/>
          <w:szCs w:val="24"/>
        </w:rPr>
        <w:t xml:space="preserve">, we assessed antimicrobial activity against </w:t>
      </w:r>
      <w:r w:rsidR="00CA4A3B">
        <w:rPr>
          <w:rFonts w:ascii="Times New Roman" w:hAnsi="Times New Roman" w:cs="Times New Roman"/>
          <w:sz w:val="24"/>
          <w:szCs w:val="24"/>
        </w:rPr>
        <w:t>planktonic and biofilm-associated bacteria, as well as</w:t>
      </w:r>
      <w:r w:rsidR="00CA4A3B" w:rsidRPr="00D17845">
        <w:rPr>
          <w:rFonts w:ascii="Times New Roman" w:hAnsi="Times New Roman" w:cs="Times New Roman"/>
          <w:sz w:val="24"/>
          <w:szCs w:val="24"/>
        </w:rPr>
        <w:t xml:space="preserve"> mammalian cell cytotoxicity and hemolysis.</w:t>
      </w:r>
    </w:p>
    <w:p w14:paraId="29981015" w14:textId="77777777" w:rsidR="00CA4A3B" w:rsidRPr="00D17845" w:rsidRDefault="00CA4A3B" w:rsidP="00CA4A3B">
      <w:pPr>
        <w:spacing w:line="360" w:lineRule="auto"/>
        <w:jc w:val="both"/>
        <w:rPr>
          <w:rFonts w:ascii="Times New Roman" w:hAnsi="Times New Roman" w:cs="Times New Roman"/>
          <w:sz w:val="24"/>
          <w:szCs w:val="24"/>
        </w:rPr>
      </w:pPr>
      <w:r w:rsidRPr="00D17845">
        <w:rPr>
          <w:rFonts w:ascii="Times New Roman" w:hAnsi="Times New Roman" w:cs="Times New Roman"/>
          <w:sz w:val="24"/>
          <w:szCs w:val="24"/>
        </w:rPr>
        <w:t>Our findings show that many isolates exhibited high-level resistance to conventional antibiotics when used alone. However, combining membrane-active peptides with antibiotics, particularly ciprofloxacin</w:t>
      </w:r>
      <w:r>
        <w:rPr>
          <w:rFonts w:ascii="Times New Roman" w:hAnsi="Times New Roman" w:cs="Times New Roman"/>
          <w:sz w:val="24"/>
          <w:szCs w:val="24"/>
        </w:rPr>
        <w:t>, ceftazidime,</w:t>
      </w:r>
      <w:r w:rsidRPr="00D17845">
        <w:rPr>
          <w:rFonts w:ascii="Times New Roman" w:hAnsi="Times New Roman" w:cs="Times New Roman"/>
          <w:sz w:val="24"/>
          <w:szCs w:val="24"/>
        </w:rPr>
        <w:t xml:space="preserve"> or meropenem, markedly improved antibacterial and antibiofilm activity, reduced effective MIC values, and maintained good selectivity toward bacterial cells with minimal mammalian toxicity. These results suggest that membrane-disrupting peptides may restore or potentiate the activity of existing antibiotics against difficult-to-treat ocular pathogens.</w:t>
      </w:r>
    </w:p>
    <w:p w14:paraId="3BDB56FD" w14:textId="49ADAE33" w:rsidR="00C57A1E" w:rsidRPr="00C57A1E" w:rsidRDefault="00C57A1E" w:rsidP="00C57A1E"/>
    <w:p w14:paraId="07BB6643" w14:textId="08788C37" w:rsidR="00CA4A3B" w:rsidRDefault="00C57A1E" w:rsidP="00C57A1E">
      <w:r w:rsidRPr="00C57A1E">
        <w:lastRenderedPageBreak/>
        <w:t>3. Photos</w:t>
      </w:r>
      <w:r w:rsidR="00915E39">
        <w:t xml:space="preserve">: </w:t>
      </w:r>
      <w:r w:rsidR="00915E39">
        <w:rPr>
          <w:noProof/>
        </w:rPr>
        <w:drawing>
          <wp:inline distT="0" distB="0" distL="0" distR="0" wp14:anchorId="5EADE232" wp14:editId="5CE25D67">
            <wp:extent cx="5731510" cy="6476365"/>
            <wp:effectExtent l="0" t="0" r="0" b="0"/>
            <wp:docPr id="19752034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6476365"/>
                    </a:xfrm>
                    <a:prstGeom prst="rect">
                      <a:avLst/>
                    </a:prstGeom>
                    <a:noFill/>
                    <a:ln>
                      <a:noFill/>
                    </a:ln>
                  </pic:spPr>
                </pic:pic>
              </a:graphicData>
            </a:graphic>
          </wp:inline>
        </w:drawing>
      </w:r>
      <w:r w:rsidR="00915E39">
        <w:rPr>
          <w:noProof/>
        </w:rPr>
        <w:lastRenderedPageBreak/>
        <w:drawing>
          <wp:inline distT="0" distB="0" distL="0" distR="0" wp14:anchorId="4FCB87F5" wp14:editId="1B59BE33">
            <wp:extent cx="5731510" cy="4299585"/>
            <wp:effectExtent l="0" t="0" r="0" b="0"/>
            <wp:docPr id="15399606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299585"/>
                    </a:xfrm>
                    <a:prstGeom prst="rect">
                      <a:avLst/>
                    </a:prstGeom>
                    <a:noFill/>
                    <a:ln>
                      <a:noFill/>
                    </a:ln>
                  </pic:spPr>
                </pic:pic>
              </a:graphicData>
            </a:graphic>
          </wp:inline>
        </w:drawing>
      </w:r>
      <w:r w:rsidR="00915E39">
        <w:rPr>
          <w:noProof/>
        </w:rPr>
        <w:lastRenderedPageBreak/>
        <w:drawing>
          <wp:inline distT="0" distB="0" distL="0" distR="0" wp14:anchorId="4E2B9C24" wp14:editId="78EC4681">
            <wp:extent cx="5731510" cy="4299585"/>
            <wp:effectExtent l="0" t="723900" r="0" b="691515"/>
            <wp:docPr id="513444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5400000">
                      <a:off x="0" y="0"/>
                      <a:ext cx="5731510" cy="4299585"/>
                    </a:xfrm>
                    <a:prstGeom prst="rect">
                      <a:avLst/>
                    </a:prstGeom>
                    <a:noFill/>
                    <a:ln>
                      <a:noFill/>
                    </a:ln>
                  </pic:spPr>
                </pic:pic>
              </a:graphicData>
            </a:graphic>
          </wp:inline>
        </w:drawing>
      </w:r>
      <w:r w:rsidR="00915E39">
        <w:rPr>
          <w:noProof/>
        </w:rPr>
        <w:lastRenderedPageBreak/>
        <w:drawing>
          <wp:inline distT="0" distB="0" distL="0" distR="0" wp14:anchorId="7A11FE9F" wp14:editId="362307BA">
            <wp:extent cx="5731510" cy="4298950"/>
            <wp:effectExtent l="0" t="723900" r="0" b="692150"/>
            <wp:docPr id="86981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5400000" flipV="1">
                      <a:off x="0" y="0"/>
                      <a:ext cx="5731510" cy="4298950"/>
                    </a:xfrm>
                    <a:prstGeom prst="rect">
                      <a:avLst/>
                    </a:prstGeom>
                    <a:noFill/>
                    <a:ln>
                      <a:noFill/>
                    </a:ln>
                  </pic:spPr>
                </pic:pic>
              </a:graphicData>
            </a:graphic>
          </wp:inline>
        </w:drawing>
      </w:r>
    </w:p>
    <w:p w14:paraId="296A7D31" w14:textId="77777777" w:rsidR="00915E39" w:rsidRDefault="00915E39" w:rsidP="00C57A1E"/>
    <w:p w14:paraId="5513E95B" w14:textId="77777777" w:rsidR="00915E39" w:rsidRDefault="00915E39" w:rsidP="00C57A1E"/>
    <w:p w14:paraId="390B4428" w14:textId="7B8DE880" w:rsidR="00915E39" w:rsidRDefault="00915E39" w:rsidP="00C57A1E">
      <w:r>
        <w:rPr>
          <w:noProof/>
        </w:rPr>
        <w:lastRenderedPageBreak/>
        <w:drawing>
          <wp:inline distT="0" distB="0" distL="0" distR="0" wp14:anchorId="6BC2FBD2" wp14:editId="50CBD123">
            <wp:extent cx="5731510" cy="4298950"/>
            <wp:effectExtent l="0" t="0" r="0" b="0"/>
            <wp:docPr id="1316081788" name="Picture 5" descr="No alternative text description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 alternative text description for this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5A25815" w14:textId="77777777" w:rsidR="00915E39" w:rsidRDefault="00915E39" w:rsidP="00C57A1E"/>
    <w:p w14:paraId="492D1C36" w14:textId="77777777" w:rsidR="00915E39" w:rsidRDefault="00915E39" w:rsidP="00C57A1E"/>
    <w:p w14:paraId="111659B6" w14:textId="77777777" w:rsidR="007A5C09" w:rsidRDefault="00C57A1E" w:rsidP="00C57A1E">
      <w:r w:rsidRPr="00C57A1E">
        <w:t>4. (optional) a short reflection on your conference experience</w:t>
      </w:r>
      <w:r w:rsidR="007A5C09">
        <w:t xml:space="preserve">: </w:t>
      </w:r>
    </w:p>
    <w:p w14:paraId="34DAFB41" w14:textId="14AA599F" w:rsidR="007A5C09" w:rsidRPr="00DA7594" w:rsidRDefault="007A5C09" w:rsidP="00DA7594">
      <w:pPr>
        <w:spacing w:line="360" w:lineRule="auto"/>
        <w:jc w:val="both"/>
        <w:rPr>
          <w:rFonts w:ascii="Times New Roman" w:hAnsi="Times New Roman" w:cs="Times New Roman"/>
          <w:sz w:val="24"/>
          <w:szCs w:val="24"/>
        </w:rPr>
      </w:pPr>
      <w:r w:rsidRPr="00DA7594">
        <w:rPr>
          <w:rFonts w:ascii="Times New Roman" w:hAnsi="Times New Roman" w:cs="Times New Roman"/>
          <w:sz w:val="24"/>
          <w:szCs w:val="24"/>
        </w:rPr>
        <w:t xml:space="preserve">Attending ASM Microbe 2026 in Washington, D.C. was an inspiring and rewarding experience. It provided me with the opportunity to engage with </w:t>
      </w:r>
      <w:r w:rsidRPr="00DA7594">
        <w:rPr>
          <w:rFonts w:ascii="Times New Roman" w:hAnsi="Times New Roman" w:cs="Times New Roman"/>
          <w:sz w:val="24"/>
          <w:szCs w:val="24"/>
        </w:rPr>
        <w:t xml:space="preserve">some </w:t>
      </w:r>
      <w:r w:rsidRPr="00DA7594">
        <w:rPr>
          <w:rFonts w:ascii="Times New Roman" w:hAnsi="Times New Roman" w:cs="Times New Roman"/>
          <w:sz w:val="24"/>
          <w:szCs w:val="24"/>
        </w:rPr>
        <w:t>leading researchers, learn about the latest advancements in microbiology and antimicrobial research, and gain valuable insights into emerging scientific challenges and innovations.</w:t>
      </w:r>
    </w:p>
    <w:p w14:paraId="4FE5C28E" w14:textId="77777777" w:rsidR="007A5C09" w:rsidRPr="00DA7594" w:rsidRDefault="007A5C09" w:rsidP="00DA7594">
      <w:pPr>
        <w:spacing w:line="360" w:lineRule="auto"/>
        <w:jc w:val="both"/>
        <w:rPr>
          <w:rFonts w:ascii="Times New Roman" w:hAnsi="Times New Roman" w:cs="Times New Roman"/>
          <w:sz w:val="24"/>
          <w:szCs w:val="24"/>
        </w:rPr>
      </w:pPr>
      <w:r w:rsidRPr="00DA7594">
        <w:rPr>
          <w:rFonts w:ascii="Times New Roman" w:hAnsi="Times New Roman" w:cs="Times New Roman"/>
          <w:sz w:val="24"/>
          <w:szCs w:val="24"/>
        </w:rPr>
        <w:t>Presenting my research and discussing it with experts from diverse backgrounds enhanced my understanding of my field and provided constructive feedback that will help strengthen my future work. The conference also allowed me to build professional networks and explore potential collaborations with researchers from around the world.</w:t>
      </w:r>
    </w:p>
    <w:p w14:paraId="1BB72624" w14:textId="46F3C697" w:rsidR="00C57A1E" w:rsidRPr="00DA7594" w:rsidRDefault="007A5C09" w:rsidP="00DA7594">
      <w:pPr>
        <w:spacing w:line="360" w:lineRule="auto"/>
        <w:jc w:val="both"/>
        <w:rPr>
          <w:rFonts w:ascii="Times New Roman" w:hAnsi="Times New Roman" w:cs="Times New Roman"/>
          <w:sz w:val="24"/>
          <w:szCs w:val="24"/>
        </w:rPr>
      </w:pPr>
      <w:r w:rsidRPr="00DA7594">
        <w:rPr>
          <w:rFonts w:ascii="Times New Roman" w:hAnsi="Times New Roman" w:cs="Times New Roman"/>
          <w:sz w:val="24"/>
          <w:szCs w:val="24"/>
        </w:rPr>
        <w:t>Overall, ASM Microbe 2026 broadened my scientific perspective, reinforced my passion for research, and motivated me to continue contributing to the fight against antimicrobial resistance and infectious diseases. I am grateful for the opportunity to participate in such a prestigious international scientific event.</w:t>
      </w:r>
    </w:p>
    <w:p w14:paraId="26CA8F8A" w14:textId="77777777" w:rsidR="00A01A0A" w:rsidRDefault="00A01A0A"/>
    <w:sectPr w:rsidR="00A01A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A1E"/>
    <w:rsid w:val="00024629"/>
    <w:rsid w:val="0020154E"/>
    <w:rsid w:val="00566FA6"/>
    <w:rsid w:val="007A5C09"/>
    <w:rsid w:val="00915E39"/>
    <w:rsid w:val="00A01A0A"/>
    <w:rsid w:val="00C57A1E"/>
    <w:rsid w:val="00CA4A3B"/>
    <w:rsid w:val="00CB17DF"/>
    <w:rsid w:val="00D16C80"/>
    <w:rsid w:val="00DA759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FA8D7"/>
  <w15:chartTrackingRefBased/>
  <w15:docId w15:val="{4C638A22-83C0-4B2B-8A9B-CEAB95B02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A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7A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7A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7A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7A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7A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A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A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A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A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7A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7A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7A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7A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7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A1E"/>
    <w:rPr>
      <w:rFonts w:eastAsiaTheme="majorEastAsia" w:cstheme="majorBidi"/>
      <w:color w:val="272727" w:themeColor="text1" w:themeTint="D8"/>
    </w:rPr>
  </w:style>
  <w:style w:type="paragraph" w:styleId="Title">
    <w:name w:val="Title"/>
    <w:basedOn w:val="Normal"/>
    <w:next w:val="Normal"/>
    <w:link w:val="TitleChar"/>
    <w:uiPriority w:val="10"/>
    <w:qFormat/>
    <w:rsid w:val="00C57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A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A1E"/>
    <w:pPr>
      <w:spacing w:before="160"/>
      <w:jc w:val="center"/>
    </w:pPr>
    <w:rPr>
      <w:i/>
      <w:iCs/>
      <w:color w:val="404040" w:themeColor="text1" w:themeTint="BF"/>
    </w:rPr>
  </w:style>
  <w:style w:type="character" w:customStyle="1" w:styleId="QuoteChar">
    <w:name w:val="Quote Char"/>
    <w:basedOn w:val="DefaultParagraphFont"/>
    <w:link w:val="Quote"/>
    <w:uiPriority w:val="29"/>
    <w:rsid w:val="00C57A1E"/>
    <w:rPr>
      <w:i/>
      <w:iCs/>
      <w:color w:val="404040" w:themeColor="text1" w:themeTint="BF"/>
    </w:rPr>
  </w:style>
  <w:style w:type="paragraph" w:styleId="ListParagraph">
    <w:name w:val="List Paragraph"/>
    <w:basedOn w:val="Normal"/>
    <w:uiPriority w:val="34"/>
    <w:qFormat/>
    <w:rsid w:val="00C57A1E"/>
    <w:pPr>
      <w:ind w:left="720"/>
      <w:contextualSpacing/>
    </w:pPr>
  </w:style>
  <w:style w:type="character" w:styleId="IntenseEmphasis">
    <w:name w:val="Intense Emphasis"/>
    <w:basedOn w:val="DefaultParagraphFont"/>
    <w:uiPriority w:val="21"/>
    <w:qFormat/>
    <w:rsid w:val="00C57A1E"/>
    <w:rPr>
      <w:i/>
      <w:iCs/>
      <w:color w:val="2F5496" w:themeColor="accent1" w:themeShade="BF"/>
    </w:rPr>
  </w:style>
  <w:style w:type="paragraph" w:styleId="IntenseQuote">
    <w:name w:val="Intense Quote"/>
    <w:basedOn w:val="Normal"/>
    <w:next w:val="Normal"/>
    <w:link w:val="IntenseQuoteChar"/>
    <w:uiPriority w:val="30"/>
    <w:qFormat/>
    <w:rsid w:val="00C57A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7A1E"/>
    <w:rPr>
      <w:i/>
      <w:iCs/>
      <w:color w:val="2F5496" w:themeColor="accent1" w:themeShade="BF"/>
    </w:rPr>
  </w:style>
  <w:style w:type="character" w:styleId="IntenseReference">
    <w:name w:val="Intense Reference"/>
    <w:basedOn w:val="DefaultParagraphFont"/>
    <w:uiPriority w:val="32"/>
    <w:qFormat/>
    <w:rsid w:val="00C57A1E"/>
    <w:rPr>
      <w:b/>
      <w:bCs/>
      <w:smallCaps/>
      <w:color w:val="2F5496" w:themeColor="accent1" w:themeShade="BF"/>
      <w:spacing w:val="5"/>
    </w:rPr>
  </w:style>
  <w:style w:type="paragraph" w:styleId="NormalWeb">
    <w:name w:val="Normal (Web)"/>
    <w:basedOn w:val="Normal"/>
    <w:uiPriority w:val="99"/>
    <w:semiHidden/>
    <w:unhideWhenUsed/>
    <w:rsid w:val="00C57A1E"/>
    <w:pPr>
      <w:spacing w:before="100" w:beforeAutospacing="1" w:after="100" w:afterAutospacing="1" w:line="240" w:lineRule="auto"/>
    </w:pPr>
    <w:rPr>
      <w:rFonts w:ascii="Times New Roman" w:eastAsia="Times New Roman" w:hAnsi="Times New Roman" w:cs="Times New Roman"/>
      <w:kern w:val="0"/>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7</Pages>
  <Words>350</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Teshome Belachew Eshete</dc:creator>
  <cp:keywords/>
  <dc:description/>
  <cp:lastModifiedBy>Teshome Belachew Eshete</cp:lastModifiedBy>
  <cp:revision>3</cp:revision>
  <dcterms:created xsi:type="dcterms:W3CDTF">2026-06-24T02:20:00Z</dcterms:created>
  <dcterms:modified xsi:type="dcterms:W3CDTF">2026-06-24T03:42:00Z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9aa5ef8f-8306-406d-bffa-5d9e2898b9eb</vt:lpwstr>
  </property>
</Properties>
</file>