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56DB"/>
          <w:sz w:val="72"/>
          <w:szCs w:val="72"/>
        </w:rPr>
        <w:t xml:space="preserve">ThinkMW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GraphRAG-Powered Knowledge Assessment Platform</w:t>
      </w:r>
    </w:p>
    <w:p>
      <w:pPr>
        <w:pBdr>
          <w:top w:val="single" w:color="1A56DB" w:sz="4" w:space="4"/>
          <w:bottom w:val="single" w:color="1A56DB" w:sz="4" w:space="4"/>
        </w:pBdr>
        <w:spacing w:after="160" w:before="160"/>
        <w:jc w:val="center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Project Proposal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Prepared for: Strategic Consultation</w:t>
      </w:r>
    </w:p>
    <w:p>
      <w:pPr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Date: July 2026</w:t>
      </w:r>
    </w:p>
    <w:p>
      <w:pPr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Version: 0.1 — Prototype Stage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1. Executive Summary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ThinkMW is an AI-powered knowledge assessment platform designed for secondary school students. It uses Graph Retrieval-Augmented Generation (GraphRAG) to transform educational content into interactive concept maps, enabling students to build, express, and reflect on their own understanding.</w:t>
      </w:r>
    </w:p>
    <w:p>
      <w:pPr>
        <w:spacing w:after="0" w:before="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Rather than testing recall through multiple-choice questions, ThinkMW asks students to construct a knowledge graph by linking concept nodes with their own relationship labels. The system then compares the student's graph against an AI-generated standard, surfacing learning gaps and rewarding original thinking.</w:t>
      </w:r>
    </w:p>
    <w:p>
      <w:pPr>
        <w:spacing w:after="0" w:before="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platform is currently at a working prototype stage with the following pipeline operational: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PDF upload by teacher → AI concept graph extraction (DeepSeek-V3)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Student canvas for building knowledge graphs (React Flow)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Semantic edge label normalisation (OpenAI embeddings + LLM judge)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Scoring engine comparing student graph against standard graph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Gap analysis showing missed and novel connections</w:t>
      </w:r>
    </w:p>
    <w:p>
      <w:pPr>
        <w:spacing w:after="0" w:before="0"/>
      </w:pPr>
      <w:r>
        <w:t xml:space="preserve"/>
      </w:r>
    </w:p>
    <w:p>
      <w:pPr>
        <w:pBdr>
          <w:bottom w:val="single" w:color="DDDDDD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2. Problem Statement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Secondary school education faces a persistent challenge: students can pass exams by memorising facts without developing genuine conceptual understanding. Traditional assessment tools measure recall, not comprehension or the ability to connect ideas.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2.1 Core Learning Problems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Students study in silos — memorising isolated facts rather than building connected knowledge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Teachers lack scalable tools to diagnose conceptual gaps across a class of 30+ students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Existing EdTech platforms (Quizlet, Kahoot) reinforce rote learning rather than deep thinking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Students who think differently or make novel connections have no way to demonstrate that insight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2.2 Market Gap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 existing platform combines: (1) AI-generated knowledge graphs from teacher content, (2) student-built concept maps with free-text relationship labels, and (3) semantic comparison that rewards original thinking while identifying gaps.</w:t>
      </w:r>
    </w:p>
    <w:p>
      <w:pPr>
        <w:pBdr>
          <w:bottom w:val="single" w:color="DDDDDD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3. Solution: ThinkMW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ThinkMW introduces a new assessment modality: Knowledge Graph Construction. Instead of answering questions about content, students demonstrate understanding by building a graph that shows how concepts relate to each other.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3.1 How It 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80"/>
        <w:gridCol w:w="468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Teacher uploads PDF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(DeepSeek-V3) extracts a standard knowledge graph: 10–20 concept nodes with typed relationships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Student opens topic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Concept nodes appear in a tray. Student drags them onto a canvas and draws connections with free-text labels.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Student submits graph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Semantic layer maps student labels to canonical types. Graph is scored against the standard.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Feedback delivered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Student sees score breakdown, missed connections (shown as pairs to explore), and novel connections judged valid/weak/invalid.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Teacher reviews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Dashboard shows class-wide gap patterns. Students with valid novel connections can contribute to an enriched community graph.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3.2 Scoring Model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composite score (0–100) is weighted across four dimensions: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Dimension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Weight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What It Measures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Edge Coverage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40%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Fraction of standard connections found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Novel Valid Connections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30%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Original ideas judged academically valid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Graph Structure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20%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Connectivity, clustering, bridging concepts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Node Completeness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10%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Fraction of topic concepts placed</w:t>
            </w:r>
          </w:p>
        </w:tc>
      </w:tr>
    </w:tbl>
    <w:p>
      <w:pPr>
        <w:pBdr>
          <w:bottom w:val="single" w:color="DDDDDD" w:sz="4" w:space="1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4. Technology Stack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ThinkMW is built on a modern, production-ready stack designed for scalability from day one.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Next.js 14, React Flow, Zustand, TailwindCSS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Student canvas, teacher dashboard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FastAPI (Python), Celery, Redis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REST API, async PDF processing queue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Graph Database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Neo4j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Standard and student knowledge graphs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Relational DB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Users, classes, sessions, scoring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LLM (Dev)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DeepSeek-V3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Graph extraction, edge judgement (~$0.001/topic)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LLM (Prod)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 Sonnet 4.6 + Haiku 4.5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Higher accuracy for live school deployments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Embeddings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OpenAI text-embedding-3-small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Semantic label normalisation ($0.02/1M tokens)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Graph Algorithms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NetworkX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Structural scoring, Louvain community detection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4.1 AI Architecture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semantic layer is the core IP of ThinkMW. It uses a 4-band confidence routing system to handle the diversity of student expression without forcing rigid label matching: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5460"/>
      </w:tblGrid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Band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Similarity Score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Auto-map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≥ 0.88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Direct match to canonical type — no LLM call needed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Confirm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0.65 – 0.88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High-confidence suggestion shown to student for confirmation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LLM Judge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0.40 – 0.65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DeepSeek/Haiku makes a judgement call on ambiguous labels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Novel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0.40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Edge not in standard graph — assessed as valid/weak/invalid by LLM</w:t>
            </w:r>
          </w:p>
        </w:tc>
      </w:tr>
    </w:tbl>
    <w:p>
      <w:pPr>
        <w:pBdr>
          <w:bottom w:val="single" w:color="DDDDDD" w:sz="4" w:space="1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5. Business Model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5.1 Go-to-Market Strategy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ThinkMW follows a B2B2C model with teachers as the primary acquisition channel. The strategy is to win individual teacher champions first, then expand department-wide, then school-wide via procurement.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Stage 1 — Teacher Champion: Free access for individual teachers. Low friction, high value.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Stage 2 — Department Adoption: When 3+ teachers in a department use ThinkMW, propose a department licence.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Stage 3 — School Procurement: Annual school-wide licence negotiated with HOD or Principal.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Stage 4 — District / Ministry: Pilot with MOE-linked schools in Malaysia and Singapore.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5.2 Pricing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Includes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 (Teacher)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MYR 0 / month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 to 3 topics, 1 class, 30 students, basic reporting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 (Teacher)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MYR 39 / month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Unlimited topics, 5 classes, advanced gap heatmap, alias builder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School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MYR 1,200 / year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teachers, admin dashboard, community graph, priority support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Enterprise / MOE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Custom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On-premise option, SSO, curriculum alignment, SLA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5.3 Unit Economics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AI cost per class per year is estimated at under MYR 25 (&lt; $5 USD) based on current DeepSeek and OpenAI pricing. This makes the Pro tier highly profitable at scale. The School tier at MYR 1,200/year supports a school of 50 teachers with a comfortable margin.</w:t>
      </w:r>
    </w:p>
    <w:p>
      <w:pPr>
        <w:pBdr>
          <w:bottom w:val="single" w:color="DDDDDD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6. Competitive Landscape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156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Knowledge Graphs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Free-text Labels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Extraction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Feedback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ThinkMW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Quizlet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Partial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Kahoot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MindMeister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Manual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Khanmigo (Khan)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Partial</w:t>
            </w:r>
          </w:p>
        </w:tc>
      </w:tr>
    </w:tbl>
    <w:p>
      <w:pPr>
        <w:pBdr>
          <w:bottom w:val="single" w:color="DDDDDD" w:sz="4" w:space="1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7. Product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5460"/>
      </w:tblGrid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Milestones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MVP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Now – Q3 2026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Working prototype (current state): PDF extraction, student canvas, scoring, gap feedback. Auth, teacher dashboard polish.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Pilot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Q4 2026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3–5 teacher pilots in KL/PJ secondary schools. Collect session data, refine scoring weights, fix UX friction.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Growth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Q1–Q2 2027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School-level accounts, class heatmap for teachers, collaborative graph merge, handwriting OCR (Phase 3).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Scale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H2 2027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Singapore market entry, MOE pilot application, multi-language support, mobile app.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7.1 Immediate Next Steps (Technical)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Complete authentication flow (Supabase Auth — teacher and student login)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Build teacher class dashboard with gap heatmap across students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Implement hint token system (partial reveal of missed connections)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Collaborative graph merge — Louvain community detection for sub-cluster comparison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Handwriting OCR pipeline (Google Vision API) for Phase 3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Switch to Anthropic Claude for production (data residency compliance for SEA schools)</w:t>
      </w:r>
    </w:p>
    <w:p>
      <w:pPr>
        <w:pBdr>
          <w:bottom w:val="single" w:color="DDDDDD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8.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extraction quality varies by subject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Poor standard graph → unfair scoring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Teacher review step before publishing to students; alias library grows over time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Student data residency (DeepSeek on China servers)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School procurement blocker in MY/SG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DeepSeek used in dev only; switch to Claude (US servers) before any school pilot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Teacher adoption friction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Slow growth if upload workflow is complex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One-click PDF upload; graph ready in &lt; 30 seconds; no configuration required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Gaming the scoring system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Students draw random edges to boost score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Novel edge LLM judge penalises invalid connections; low coverage score for mismatch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Competition from large EdTech players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Google/Microsoft copy the concept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First-mover in SEA; B2B teacher relationships are sticky; alias library is proprietary data moat</w:t>
            </w:r>
          </w:p>
        </w:tc>
      </w:tr>
    </w:tbl>
    <w:p>
      <w:pPr>
        <w:pBdr>
          <w:bottom w:val="single" w:color="DDDDDD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9. Questions for Consultation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following questions are submitted for review and feedback from AI agents or advisors:</w:t>
      </w:r>
    </w:p>
    <w:p>
      <w:pPr>
        <w:spacing w:after="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Product &amp; Pedagogy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Is the Knowledge Graph Construction modality well-aligned with evidence-based learning science (e.g. concept mapping research by Novak)?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How should the scoring model evolve to better capture depth of understanding vs. breadth of coverage?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Should students be allowed to see the standard graph after submission, or does that reduce replay value?</w:t>
      </w:r>
    </w:p>
    <w:p>
      <w:pPr>
        <w:spacing w:after="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AI Architecture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Is the 4-band semantic routing approach (auto-map / confirm / LLM judge / novel) the right design, or is there a simpler architecture with equivalent accuracy?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How should the alias library (teacher-confirmed synonyms) be structured to generalise across subjects?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What is the best approach for handwriting OCR — Google Vision API, or a fine-tuned model on student handwriting?</w:t>
      </w:r>
    </w:p>
    <w:p>
      <w:pPr>
        <w:spacing w:after="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Business &amp; GTM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What is the most effective teacher acquisition channel in Malaysian and Singaporean secondary schools?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Should ThinkMW pursue MOE accreditation early, or grow bottom-up first?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Is MYR 39/month the right price point for a Malaysian teacher, or is annual billing preferred?</w:t>
      </w:r>
    </w:p>
    <w:p>
      <w:pPr>
        <w:spacing w:after="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Technical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What are the key scaling bottlenecks when moving from prototype to 1,000 concurrent student sessions?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Should the graph comparison algorithm use exact node ID matching, or should it support fuzzy node matching (e.g. student adds a synonym node)?</w:t>
      </w:r>
    </w:p>
    <w:p>
      <w:pPr>
        <w:pBdr>
          <w:bottom w:val="single" w:color="DDDDDD" w:sz="4" w:space="1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Appendix: Technical Architecture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following diagram describes the end-to-end data flow for ThinkMW:</w:t>
      </w:r>
    </w:p>
    <w:p>
      <w:pPr>
        <w:spacing w:after="0" w:before="0"/>
      </w:pPr>
      <w:r>
        <w:t xml:space="preserve"/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8F9FA" w:val="clear"/>
        <w:spacing w:after="120" w:before="1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Teacher uploads PDF</w:t>
      </w:r>
    </w:p>
    <w:p>
      <w:r>
        <w:rPr>
          <w:rFonts w:ascii="Courier New" w:cs="Courier New" w:eastAsia="Courier New" w:hAnsi="Courier New"/>
          <w:color w:val="1A56DB"/>
          <w:sz w:val="18"/>
          <w:szCs w:val="18"/>
        </w:rPr>
        <w:t xml:space="preserve">        ↓</w:t>
      </w:r>
    </w:p>
    <w:p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FastAPI → S3 / Local Disk → Celery Task Queue (Redis)</w:t>
      </w:r>
    </w:p>
    <w:p>
      <w:r>
        <w:rPr>
          <w:rFonts w:ascii="Courier New" w:cs="Courier New" w:eastAsia="Courier New" w:hAnsi="Courier New"/>
          <w:color w:val="1A56DB"/>
          <w:sz w:val="18"/>
          <w:szCs w:val="18"/>
        </w:rPr>
        <w:t xml:space="preserve">        ↓</w:t>
      </w:r>
    </w:p>
    <w:p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PyMuPDF → DeepSeek-V3 → JSON {nodes, edges}</w:t>
      </w:r>
    </w:p>
    <w:p>
      <w:r>
        <w:rPr>
          <w:rFonts w:ascii="Courier New" w:cs="Courier New" w:eastAsia="Courier New" w:hAnsi="Courier New"/>
          <w:color w:val="1A56DB"/>
          <w:sz w:val="18"/>
          <w:szCs w:val="18"/>
        </w:rPr>
        <w:t xml:space="preserve">        ↓</w:t>
      </w:r>
    </w:p>
    <w:p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Neo4j (standard graph) + Supabase (concept_nodes table)</w:t>
      </w:r>
    </w:p>
    <w:p>
      <w:r>
        <w:rPr>
          <w:rFonts w:ascii="Courier New" w:cs="Courier New" w:eastAsia="Courier New" w:hAnsi="Courier New"/>
          <w:color w:val="1A56DB"/>
          <w:sz w:val="18"/>
          <w:szCs w:val="18"/>
        </w:rPr>
        <w:t xml:space="preserve">        ↓</w:t>
      </w:r>
    </w:p>
    <w:p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Student canvas (React Flow) → Submit edges</w:t>
      </w:r>
    </w:p>
    <w:p>
      <w:r>
        <w:rPr>
          <w:rFonts w:ascii="Courier New" w:cs="Courier New" w:eastAsia="Courier New" w:hAnsi="Courier New"/>
          <w:color w:val="1A56DB"/>
          <w:sz w:val="18"/>
          <w:szCs w:val="18"/>
        </w:rPr>
        <w:t xml:space="preserve">        ↓</w:t>
      </w:r>
    </w:p>
    <w:p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OpenAI embeddings → cosine similarity → 4-band routing</w:t>
      </w:r>
    </w:p>
    <w:p>
      <w:r>
        <w:rPr>
          <w:rFonts w:ascii="Courier New" w:cs="Courier New" w:eastAsia="Courier New" w:hAnsi="Courier New"/>
          <w:color w:val="1A56DB"/>
          <w:sz w:val="18"/>
          <w:szCs w:val="18"/>
        </w:rPr>
        <w:t xml:space="preserve">        ↓</w:t>
      </w:r>
    </w:p>
    <w:p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NetworkX scoring → gap analysis → ScorePanel UI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All source code is maintained at: /Users/markyeoh/Documents/ThinkMW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tabs>
        <w:tab w:val="right" w:pos="9026"/>
      </w:tabs>
    </w:pPr>
    <w:r>
      <w:rPr>
        <w:rFonts w:ascii="Arial" w:cs="Arial" w:eastAsia="Arial" w:hAnsi="Arial"/>
        <w:color w:val="AAAAAA"/>
        <w:sz w:val="16"/>
        <w:szCs w:val="16"/>
      </w:rPr>
      <w:t xml:space="preserve">ThinkMW — Confidential</w:t>
    </w:r>
    <w:r>
      <w:rPr>
        <w:rFonts w:ascii="Arial" w:cs="Arial" w:eastAsia="Arial" w:hAnsi="Arial"/>
        <w:color w:val="AAAAAA"/>
        <w:sz w:val="16"/>
        <w:szCs w:val="16"/>
      </w:rPr>
      <w:t xml:space="preserve">	Page 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4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1A56DB"/>
        <w:sz w:val="20"/>
        <w:szCs w:val="20"/>
      </w:rPr>
      <w:t xml:space="preserve">ThinkMW</w:t>
    </w:r>
    <w:r>
      <w:rPr>
        <w:rFonts w:ascii="Arial" w:cs="Arial" w:eastAsia="Arial" w:hAnsi="Arial"/>
        <w:color w:val="888888"/>
        <w:sz w:val="18"/>
        <w:szCs w:val="18"/>
      </w:rPr>
      <w:t xml:space="preserve">	Project Proposal —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56D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2222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2026-07-01T11:52:24.117Z</dcterms:created>
  <dcterms:modified xsi:type="dcterms:W3CDTF">2026-07-01T11:52:24.118Z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