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IDECIDE — Ultimate Signature Design Language (SDL)</w:t>
      </w:r>
    </w:p>
    <w:p>
      <w:r>
        <w:t>Single source of truth for visual grammar, interactions, and exports.</w:t>
      </w:r>
    </w:p>
    <w:p>
      <w:pPr>
        <w:pStyle w:val="Heading1"/>
      </w:pPr>
      <w:r>
        <w:t>Graph Canvas (Hi‑Fi)</w:t>
      </w:r>
    </w:p>
    <w:p>
      <w:r>
        <w:drawing>
          <wp:inline xmlns:a="http://schemas.openxmlformats.org/drawingml/2006/main" xmlns:pic="http://schemas.openxmlformats.org/drawingml/2006/picture">
            <wp:extent cx="5943600" cy="38208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ck_graph_canv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Compare Mode (Hi‑Fi)</w:t>
      </w:r>
    </w:p>
    <w:p>
      <w:r>
        <w:drawing>
          <wp:inline xmlns:a="http://schemas.openxmlformats.org/drawingml/2006/main" xmlns:pic="http://schemas.openxmlformats.org/drawingml/2006/picture">
            <wp:extent cx="5943600" cy="38208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ck_compa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Why Narrative Export (Preview)</w:t>
      </w:r>
    </w:p>
    <w:p>
      <w:r>
        <w:drawing>
          <wp:inline xmlns:a="http://schemas.openxmlformats.org/drawingml/2006/main" xmlns:pic="http://schemas.openxmlformats.org/drawingml/2006/picture">
            <wp:extent cx="5943600" cy="382088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ck_why_expo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Node &amp; Edge Grammar</w:t>
      </w:r>
    </w:p>
    <w:p>
      <w:r>
        <w:t>- Decision (hex): brand outline; status &amp; approver</w:t>
      </w:r>
    </w:p>
    <w:p>
      <w:r>
        <w:t>- Option (rounded): left accent rail; supports badges</w:t>
      </w:r>
    </w:p>
    <w:p>
      <w:r>
        <w:t>- Evidence (ring): confidence ring; provenance chips</w:t>
      </w:r>
    </w:p>
    <w:p>
      <w:r>
        <w:t>- Risk (lozenge): severity meter; mitigation link</w:t>
      </w:r>
    </w:p>
    <w:p>
      <w:r>
        <w:t>- Edges: solid=considers; dashed=AI-suggested; green=supports; orange=risk; bold=chosen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