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A0690A"/>
          <w:sz w:val="16"/>
          <w:szCs w:val="16"/>
        </w:rPr>
        <w:t xml:space="preserve">HACKATÓN IA AGÉNTICA · EQUIPO 35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1A17"/>
          <w:sz w:val="38"/>
          <w:szCs w:val="38"/>
        </w:rPr>
        <w:t xml:space="preserve">Documento Técnico</w:t>
      </w:r>
    </w:p>
    <w:p>
      <w:pPr>
        <w:pBdr>
          <w:bottom w:val="single" w:color="A0690A" w:sz="12" w:space="6"/>
        </w:pBdr>
        <w:spacing w:after="160"/>
      </w:pPr>
      <w:r>
        <w:rPr>
          <w:rFonts w:ascii="Calibri" w:cs="Calibri" w:eastAsia="Calibri" w:hAnsi="Calibri"/>
          <w:color w:val="5A554C"/>
          <w:sz w:val="22"/>
          <w:szCs w:val="22"/>
        </w:rPr>
        <w:t xml:space="preserve">Agente Postventa Zapata · Arquitectura, Topics, Flows y Knowledge</w:t>
      </w:r>
    </w:p>
    <w:p>
      <w:pPr>
        <w:spacing w:after="200" w:line="260"/>
      </w:pPr>
      <w:r>
        <w:rPr>
          <w:rFonts w:ascii="Calibri" w:cs="Calibri" w:eastAsia="Calibri" w:hAnsi="Calibri"/>
          <w:color w:val="5A554C"/>
          <w:sz w:val="17"/>
          <w:szCs w:val="17"/>
        </w:rPr>
        <w:t xml:space="preserve">Hackatón IA Agéntica, tercera edición · Equipo 35 · Org 00DgK00000VXSyCUAX · API 67.0 · 12 de agosto de 2026</w:t>
      </w:r>
    </w:p>
    <w:p>
      <w:pPr>
        <w:pBdr>
          <w:bottom w:val="single" w:color="A0690A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B1A17"/>
          <w:sz w:val="24"/>
          <w:szCs w:val="24"/>
        </w:rPr>
        <w:t xml:space="preserve">1 · El reto y el valor</w:t>
      </w:r>
    </w:p>
    <w:p>
      <w:pPr>
        <w:spacing w:after="120" w:line="26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Corporación Zapata distribuye y da servicio a camiones pesados en nueve talleres del país. La postventa concentra el dolor operativo: el cliente llama para saber si su unidad tiene garantía, para agendar taller o porque quedó varado en carretera. Cada una de esas llamadas ocupa a un asesor que debe cruzar a mano el VIN, el kilometraje, la póliza del modelo y la disponibilidad del taller. Son cuatro sistemas distintos para responder una pregunta.</w:t>
      </w:r>
    </w:p>
    <w:p>
      <w:pPr>
        <w:spacing w:after="120" w:line="26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El Agente Postventa Zapata resuelve esas cuatro conversaciones de extremo a extremo, en lenguaje natural, con efecto real en el CRM: crea y mueve órdenes de servicio, levanta reportes de asistencia en carretera, evalúa cobertura contra la póliza del modelo y abre casos en la cola de postventa con la conversación completa adjunta. El asesor deja de transcribir y empieza a resolver lo que sólo una persona puede resolver.</w:t>
      </w:r>
    </w:p>
    <w:p>
      <w:pPr>
        <w:pBdr>
          <w:bottom w:val="single" w:color="A0690A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B1A17"/>
          <w:sz w:val="24"/>
          <w:szCs w:val="24"/>
        </w:rPr>
        <w:t xml:space="preserve">2 · Arquitectura</w:t>
      </w:r>
    </w:p>
    <w:p>
      <w:pPr>
        <w:spacing w:after="120" w:line="26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Un solo agente Agentforce con una capa de clasificación —el router— que enruta a seis Topics. Cuatro resuelven trabajo; dos son guardrails de contención que impiden que el agente responda fuera de su alcance. Las acciones son Flows autolaunched y clases Apex invocables.</w:t>
      </w:r>
    </w:p>
    <w:p>
      <w:pPr>
        <w:spacing w:after="120" w:line="26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La decisión de fondo: </w:t>
      </w:r>
      <w:r>
        <w:rPr>
          <w:rFonts w:ascii="Calibri" w:cs="Calibri" w:eastAsia="Calibri" w:hAnsi="Calibri"/>
          <w:b/>
          <w:bCs/>
          <w:color w:val="1B1A17"/>
          <w:sz w:val="20"/>
          <w:szCs w:val="20"/>
        </w:rPr>
        <w:t xml:space="preserve">ninguna regla de negocio vive únicamente en lenguaje natural.</w:t>
      </w:r>
      <w:r>
        <w:rPr>
          <w:rFonts w:ascii="Calibri" w:cs="Calibri" w:eastAsia="Calibri" w:hAnsi="Calibri"/>
          <w:color w:val="1B1A17"/>
          <w:sz w:val="20"/>
          <w:szCs w:val="20"/>
        </w:rPr>
        <w:t xml:space="preserve"> El umbral de garantía es un custom setting, la anticipación mínima es un campo de la sucursal, qué franja es reservable lo decide una consulta y no una instrucción. Las instrucciones dicen cómo hablar y cuándo llamar a qué; lo que se puede o no se puede hacer lo deciden Apex, los Flows y diecisiete reglas de validación.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A0690A"/>
          <w:sz w:val="21"/>
          <w:szCs w:val="21"/>
        </w:rPr>
        <w:t xml:space="preserve">Las tres capas</w:t>
      </w:r>
    </w:p>
    <w:tbl>
      <w:tblPr>
        <w:tblW w:type="dxa" w:w="10080"/>
        <w:tblBorders>
          <w:top w:val="single" w:color="D8D2C7" w:sz="4"/>
          <w:left w:val="single" w:color="D8D2C7" w:sz="4"/>
          <w:bottom w:val="single" w:color="D8D2C7" w:sz="4"/>
          <w:right w:val="single" w:color="D8D2C7" w:sz="4"/>
          <w:insideH w:val="single" w:color="D8D2C7" w:sz="4"/>
          <w:insideV w:val="single" w:color="D8D2C7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shd w:fill="F3F0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A554C"/>
                <w:sz w:val="17"/>
                <w:szCs w:val="17"/>
              </w:rPr>
              <w:t xml:space="preserve">Capa</w:t>
            </w:r>
          </w:p>
        </w:tc>
        <w:tc>
          <w:tcPr>
            <w:tcW w:type="dxa" w:w="7862"/>
            <w:shd w:fill="F3F0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A554C"/>
                <w:sz w:val="17"/>
                <w:szCs w:val="17"/>
              </w:rPr>
              <w:t xml:space="preserve">Qué contiene</w:t>
            </w:r>
          </w:p>
        </w:tc>
      </w:tr>
      <w:tr>
        <w:trPr>
          <w:tblHeader w:val="false"/>
        </w:trP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Conversación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Router de clasificación (sfdc_ai__DefaultEinsteinHyperClassifier) y seis Topics con sus instrucciones. Idioma es_MX.</w:t>
            </w:r>
          </w:p>
        </w:tc>
      </w:tr>
      <w:tr>
        <w:trPr>
          <w:tblHeader w:val="false"/>
        </w:trP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Ejecución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Seis acciones: tres clases Apex invocables y tres Flows autolaunched, más un subflow de traza. Cada una devuelve un motivo de bloqueo estable cuando no puede actuar.</w:t>
            </w:r>
          </w:p>
        </w:tc>
      </w:tr>
      <w:tr>
        <w:trPr>
          <w:tblHeader w:val="false"/>
        </w:trP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Datos y garantías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Objetos personalizados (Sucursal__c, Slot_Taller__c, Modelo_Sucursal__c, Regla_Cobertura__c, Unidad_Varada__c, Log_Agente__c), el custom setting Parametros_Garantia__c y 17 reglas de validación activas.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A0690A"/>
          <w:sz w:val="21"/>
          <w:szCs w:val="21"/>
        </w:rPr>
        <w:t xml:space="preserve">Variables de contexto</w:t>
      </w:r>
    </w:p>
    <w:p>
      <w:pPr>
        <w:spacing w:after="120" w:line="26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El agente recibe cuatro variables enlazadas de la sesión: </w:t>
      </w:r>
      <w:r>
        <w:rPr>
          <w:rFonts w:ascii="Consolas" w:cs="Consolas" w:eastAsia="Consolas" w:hAnsi="Consolas"/>
          <w:color w:val="1B1A17"/>
          <w:sz w:val="18"/>
          <w:szCs w:val="18"/>
        </w:rPr>
        <w:t xml:space="preserve">RoutableId</w:t>
      </w:r>
      <w:r>
        <w:rPr>
          <w:rFonts w:ascii="Calibri" w:cs="Calibri" w:eastAsia="Calibri" w:hAnsi="Calibri"/>
          <w:color w:val="1B1A17"/>
          <w:sz w:val="20"/>
          <w:szCs w:val="20"/>
        </w:rPr>
        <w:t xml:space="preserve"> (MessagingSession.Id, que viaja como identificador de correlación a toda la traza), </w:t>
      </w:r>
      <w:r>
        <w:rPr>
          <w:rFonts w:ascii="Consolas" w:cs="Consolas" w:eastAsia="Consolas" w:hAnsi="Consolas"/>
          <w:color w:val="1B1A17"/>
          <w:sz w:val="18"/>
          <w:szCs w:val="18"/>
        </w:rPr>
        <w:t xml:space="preserve">EndUserId</w:t>
      </w:r>
      <w:r>
        <w:rPr>
          <w:rFonts w:ascii="Calibri" w:cs="Calibri" w:eastAsia="Calibri" w:hAnsi="Calibri"/>
          <w:color w:val="1B1A17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B1A17"/>
          <w:sz w:val="18"/>
          <w:szCs w:val="18"/>
        </w:rPr>
        <w:t xml:space="preserve">ContactId</w:t>
      </w:r>
      <w:r>
        <w:rPr>
          <w:rFonts w:ascii="Calibri" w:cs="Calibri" w:eastAsia="Calibri" w:hAnsi="Calibri"/>
          <w:color w:val="1B1A17"/>
          <w:sz w:val="20"/>
          <w:szCs w:val="20"/>
        </w:rPr>
        <w:t xml:space="preserve"> y </w:t>
      </w:r>
      <w:r>
        <w:rPr>
          <w:rFonts w:ascii="Consolas" w:cs="Consolas" w:eastAsia="Consolas" w:hAnsi="Consolas"/>
          <w:color w:val="1B1A17"/>
          <w:sz w:val="18"/>
          <w:szCs w:val="18"/>
        </w:rPr>
        <w:t xml:space="preserve">EndUserLanguage</w:t>
      </w:r>
      <w:r>
        <w:rPr>
          <w:rFonts w:ascii="Calibri" w:cs="Calibri" w:eastAsia="Calibri" w:hAnsi="Calibri"/>
          <w:color w:val="1B1A17"/>
          <w:sz w:val="20"/>
          <w:szCs w:val="20"/>
        </w:rPr>
        <w:t xml:space="preserve">. El identificador de correlación es lo que amarra la primera pregunta del cliente con el caso que termina atendiendo un asesor.</w:t>
      </w:r>
    </w:p>
    <w:p>
      <w:r>
        <w:br w:type="page"/>
      </w:r>
    </w:p>
    <w:p>
      <w:pPr>
        <w:pBdr>
          <w:bottom w:val="single" w:color="A0690A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B1A17"/>
          <w:sz w:val="24"/>
          <w:szCs w:val="24"/>
        </w:rPr>
        <w:t xml:space="preserve">3 · Configuración de Topics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A0690A"/>
          <w:sz w:val="21"/>
          <w:szCs w:val="21"/>
        </w:rPr>
        <w:t xml:space="preserve">agent_router — clasificación</w:t>
      </w:r>
    </w:p>
    <w:p>
      <w:pPr>
        <w:spacing w:after="120" w:line="26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Da la bienvenida en español y decide el Topic según la intención y el historial. Los criterios están escritos como reglas explícitas, no como una descripción vaga: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Cobertura, mantenimiento, costos, códigos de falla, procedimientos o políticas → conocimiento_y_respuestas.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Agendar, reprogramar o cancelar una cita → agendar_servicio_taller.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Unidad detenida, falla en carretera, emergencia o grúa → atencion_unidades_varadas.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Petición explícita de una persona, queja o inconformidad → escalamiento_asesor_humano.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Ajeno a postventa de camiones → off_topic.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«Tengo un problema», «necesito ayuda» o cualquier intención incompleta → ambiguous_question. </w:t>
      </w:r>
      <w:r>
        <w:rPr>
          <w:rFonts w:ascii="Calibri" w:cs="Calibri" w:eastAsia="Calibri" w:hAnsi="Calibri"/>
          <w:b/>
          <w:bCs/>
          <w:color w:val="1B1A17"/>
          <w:sz w:val="20"/>
          <w:szCs w:val="20"/>
        </w:rPr>
        <w:t xml:space="preserve">Una petición ambigua nunca se escala: primero se pide aclaración.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A0690A"/>
          <w:sz w:val="21"/>
          <w:szCs w:val="21"/>
        </w:rPr>
        <w:t xml:space="preserve">conocimiento_y_respuestas</w:t>
      </w:r>
    </w:p>
    <w:p>
      <w:pPr>
        <w:spacing w:after="120" w:line="26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Atiende garantías, coberturas, planes de mantenimiento, costos, códigos de falla, protocolos de emergencia, requisitos de taller y tiempos de refacciones. Sus directrices gobiernan la honestidad de la respuesta: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Llama siempre a la acción de conocimiento; nunca responde de memoria.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Responde </w:t>
      </w:r>
      <w:r>
        <w:rPr>
          <w:rFonts w:ascii="Calibri" w:cs="Calibri" w:eastAsia="Calibri" w:hAnsi="Calibri"/>
          <w:b/>
          <w:bCs/>
          <w:color w:val="1B1A17"/>
          <w:sz w:val="20"/>
          <w:szCs w:val="20"/>
        </w:rPr>
        <w:t xml:space="preserve">únicamente</w:t>
      </w:r>
      <w:r>
        <w:rPr>
          <w:rFonts w:ascii="Calibri" w:cs="Calibri" w:eastAsia="Calibri" w:hAnsi="Calibri"/>
          <w:color w:val="1B1A17"/>
          <w:sz w:val="20"/>
          <w:szCs w:val="20"/>
        </w:rPr>
        <w:t xml:space="preserve"> con el campo Contenido de los artículos. Prohibido inventar o inferir kilometrajes, costos, tiempos o coberturas que no aparezcan textualmente.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Todo resumen abre exactamente con </w:t>
      </w:r>
      <w:r>
        <w:rPr>
          <w:rFonts w:ascii="Consolas" w:cs="Consolas" w:eastAsia="Consolas" w:hAnsi="Consolas"/>
          <w:color w:val="1B1A17"/>
          <w:sz w:val="18"/>
          <w:szCs w:val="18"/>
        </w:rPr>
        <w:t xml:space="preserve">«El material no verificado consultado indica:»</w:t>
      </w:r>
      <w:r>
        <w:rPr>
          <w:rFonts w:ascii="Calibri" w:cs="Calibri" w:eastAsia="Calibri" w:hAnsi="Calibri"/>
          <w:color w:val="1B1A17"/>
          <w:sz w:val="20"/>
          <w:szCs w:val="20"/>
        </w:rPr>
        <w:t xml:space="preserve">, nunca con «la garantía cubre» o «está cubierto». No convierte contenido sintético en un veredicto aunque repita sus cifras.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Antes del contenido escribe tres líneas obligatorias con los valores literales devueltos: </w:t>
      </w:r>
      <w:r>
        <w:rPr>
          <w:rFonts w:ascii="Consolas" w:cs="Consolas" w:eastAsia="Consolas" w:hAnsi="Consolas"/>
          <w:color w:val="1B1A17"/>
          <w:sz w:val="18"/>
          <w:szCs w:val="18"/>
        </w:rPr>
        <w:t xml:space="preserve">Material consultado</w:t>
      </w:r>
      <w:r>
        <w:rPr>
          <w:rFonts w:ascii="Calibri" w:cs="Calibri" w:eastAsia="Calibri" w:hAnsi="Calibri"/>
          <w:color w:val="1B1A17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B1A17"/>
          <w:sz w:val="18"/>
          <w:szCs w:val="18"/>
        </w:rPr>
        <w:t xml:space="preserve">Estado de la fuente</w:t>
      </w:r>
      <w:r>
        <w:rPr>
          <w:rFonts w:ascii="Calibri" w:cs="Calibri" w:eastAsia="Calibri" w:hAnsi="Calibri"/>
          <w:color w:val="1B1A17"/>
          <w:sz w:val="20"/>
          <w:szCs w:val="20"/>
        </w:rPr>
        <w:t xml:space="preserve"> y </w:t>
      </w:r>
      <w:r>
        <w:rPr>
          <w:rFonts w:ascii="Consolas" w:cs="Consolas" w:eastAsia="Consolas" w:hAnsi="Consolas"/>
          <w:color w:val="1B1A17"/>
          <w:sz w:val="18"/>
          <w:szCs w:val="18"/>
        </w:rPr>
        <w:t xml:space="preserve">Advertencia de procedencia</w:t>
      </w:r>
      <w:r>
        <w:rPr>
          <w:rFonts w:ascii="Calibri" w:cs="Calibri" w:eastAsia="Calibri" w:hAnsi="Calibri"/>
          <w:color w:val="1B1A17"/>
          <w:sz w:val="20"/>
          <w:szCs w:val="20"/>
        </w:rPr>
        <w:t xml:space="preserve">. Si un valor viene vacío escribe «dato no devuelto»; nunca inventa un sustituto.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Si el cliente pregunta si la información es oficial, repite el estado literal de la fuente. Tiene prohibido decir que proviene de sistemas verificados de Zapata: eso no le consta.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Si el número de serie no existe en el padrón, el aviso va antes que cualquier otra línea y el material no se presenta como la cobertura de esa unidad.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A0690A"/>
          <w:sz w:val="21"/>
          <w:szCs w:val="21"/>
        </w:rPr>
        <w:t xml:space="preserve">agendar_servicio_taller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Compuerta de identidad: sin un VIN válido de 17 caracteres </w:t>
      </w:r>
      <w:r>
        <w:rPr>
          <w:rFonts w:ascii="Calibri" w:cs="Calibri" w:eastAsia="Calibri" w:hAnsi="Calibri"/>
          <w:b/>
          <w:bCs/>
          <w:color w:val="1B1A17"/>
          <w:sz w:val="20"/>
          <w:szCs w:val="20"/>
        </w:rPr>
        <w:t xml:space="preserve">no ejecuta</w:t>
      </w:r>
      <w:r>
        <w:rPr>
          <w:rFonts w:ascii="Calibri" w:cs="Calibri" w:eastAsia="Calibri" w:hAnsi="Calibri"/>
          <w:color w:val="1B1A17"/>
          <w:sz w:val="20"/>
          <w:szCs w:val="20"/>
        </w:rPr>
        <w:t xml:space="preserve"> la creación de la orden; explica por qué y ofrece un asesor.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Consulta disponibilidad siempre antes de agendar, aunque el cliente ya haya dicho el día, y ofrece numeradas sólo las opciones que esa acción devolvió.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Manda el taller tal como lo dijo el cliente, con acentos: la acción resuelve el catálogo. Nunca reintenta la misma sucursal cambiando datos.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Nunca llena el código de modelo: no puede saber qué modelo es una unidad, y adivinarlo haría que la validación de cobertura del taller diga cualquier cosa.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Autonomía explícita: la petición del cliente </w:t>
      </w:r>
      <w:r>
        <w:rPr>
          <w:rFonts w:ascii="Calibri" w:cs="Calibri" w:eastAsia="Calibri" w:hAnsi="Calibri"/>
          <w:b/>
          <w:bCs/>
          <w:color w:val="1B1A17"/>
          <w:sz w:val="20"/>
          <w:szCs w:val="20"/>
        </w:rPr>
        <w:t xml:space="preserve">ya es su autorización</w:t>
      </w:r>
      <w:r>
        <w:rPr>
          <w:rFonts w:ascii="Calibri" w:cs="Calibri" w:eastAsia="Calibri" w:hAnsi="Calibri"/>
          <w:color w:val="1B1A17"/>
          <w:sz w:val="20"/>
          <w:szCs w:val="20"/>
        </w:rPr>
        <w:t xml:space="preserve">. Ejecuta y reporta, sin pedir un «¿confirmas?» adicional.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Al reprogramar, el folio no cambia: se lo confirma al cliente para que sepa que no tiene dos citas.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Nunca menciona identificadores internos. El cliente sólo recibe folios, días y horas.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A0690A"/>
          <w:sz w:val="21"/>
          <w:szCs w:val="21"/>
        </w:rPr>
        <w:t xml:space="preserve">atencion_unidades_varadas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Primer mensaje siempre: confirmar que el operador esté fuera del carril y con intermitentes encendidas.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Con la carretera y la descripción de la falla </w:t>
      </w:r>
      <w:r>
        <w:rPr>
          <w:rFonts w:ascii="Calibri" w:cs="Calibri" w:eastAsia="Calibri" w:hAnsi="Calibri"/>
          <w:b/>
          <w:bCs/>
          <w:color w:val="1B1A17"/>
          <w:sz w:val="20"/>
          <w:szCs w:val="20"/>
        </w:rPr>
        <w:t xml:space="preserve">ya registra</w:t>
      </w:r>
      <w:r>
        <w:rPr>
          <w:rFonts w:ascii="Calibri" w:cs="Calibri" w:eastAsia="Calibri" w:hAnsi="Calibri"/>
          <w:color w:val="1B1A17"/>
          <w:sz w:val="20"/>
          <w:szCs w:val="20"/>
        </w:rPr>
        <w:t xml:space="preserve">: no espera al VIN ni al kilómetro, que se completan después. Pedirlos primero sólo retrasa el auxilio.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Tampoco espera a que el operador confirme que está a salvo: una unidad sobre el carril es más urgente, no menos. Registra con las respuestas en falso y lee el aviso de seguridad antes del folio.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Las respuestas de seguridad van en verdadero sólo si el operador las confirmó. Si no contestó, van en falso: no se suponen.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A0690A"/>
          <w:sz w:val="21"/>
          <w:szCs w:val="21"/>
        </w:rPr>
        <w:t xml:space="preserve">escalamiento_asesor_humano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Escala sin discutir ante petición explícita, queja o inconformidad, autorización de garantía o monto a facturar, y riesgo de seguridad.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Resume el motivo en una línea antes de registrar, para que el asesor tenga contexto.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No declara una transferencia en vivo: </w:t>
      </w:r>
      <w:r>
        <w:rPr>
          <w:rFonts w:ascii="Calibri" w:cs="Calibri" w:eastAsia="Calibri" w:hAnsi="Calibri"/>
          <w:b/>
          <w:bCs/>
          <w:color w:val="1B1A17"/>
          <w:sz w:val="20"/>
          <w:szCs w:val="20"/>
        </w:rPr>
        <w:t xml:space="preserve">esta organización enruta mediante Case</w:t>
      </w:r>
      <w:r>
        <w:rPr>
          <w:rFonts w:ascii="Calibri" w:cs="Calibri" w:eastAsia="Calibri" w:hAnsi="Calibri"/>
          <w:color w:val="1B1A17"/>
          <w:sz w:val="20"/>
          <w:szCs w:val="20"/>
        </w:rPr>
        <w:t xml:space="preserve">. Prometer otra cosa sería mentir sobre lo que la org puede sostener.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Si el registro falla, no inventa folio ni afirma que escaló: comunica el error real.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A0690A"/>
          <w:sz w:val="21"/>
          <w:szCs w:val="21"/>
        </w:rPr>
        <w:t xml:space="preserve">off_topic y ambiguous_question — contención</w:t>
      </w:r>
    </w:p>
    <w:p>
      <w:pPr>
        <w:spacing w:after="120" w:line="26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Su trabajo es no actuar. Off-topic declina lo ajeno a postventa de camiones —incluidas compra de unidades, financiamiento, seguros y recursos humanos— y ofrece un asesor. Ambiguous_question pide la precisión mínima con opciones concretas. Sin estos dos, un agente que escala cualquier mensaje vago o que opina fuera de su alcance hace daño silencioso que ninguna prueba de registros creados detecta.</w:t>
      </w:r>
    </w:p>
    <w:p>
      <w:pPr>
        <w:pBdr>
          <w:bottom w:val="single" w:color="A0690A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B1A17"/>
          <w:sz w:val="24"/>
          <w:szCs w:val="24"/>
        </w:rPr>
        <w:t xml:space="preserve">4 · Lógica de los Flows</w:t>
      </w:r>
    </w:p>
    <w:p>
      <w:pPr>
        <w:spacing w:after="120" w:line="26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Cuatro Flows productivos concentran las reglas deterministas. Ninguno confía en lo que diga el modelo: cada uno vuelve a comprobar sus condiciones contra la organización.</w:t>
      </w:r>
    </w:p>
    <w:tbl>
      <w:tblPr>
        <w:tblW w:type="dxa" w:w="10080"/>
        <w:tblBorders>
          <w:top w:val="single" w:color="D8D2C7" w:sz="4"/>
          <w:left w:val="single" w:color="D8D2C7" w:sz="4"/>
          <w:bottom w:val="single" w:color="D8D2C7" w:sz="4"/>
          <w:right w:val="single" w:color="D8D2C7" w:sz="4"/>
          <w:insideH w:val="single" w:color="D8D2C7" w:sz="4"/>
          <w:insideV w:val="single" w:color="D8D2C7" w:sz="4"/>
        </w:tblBorders>
      </w:tblPr>
      <w:tblGrid>
        <w:gridCol w:w="2621"/>
        <w:gridCol w:w="7459"/>
      </w:tblGrid>
      <w:tr>
        <w:trPr>
          <w:tblHeader/>
        </w:trPr>
        <w:tc>
          <w:tcPr>
            <w:tcW w:type="dxa" w:w="2621"/>
            <w:shd w:fill="F3F0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A554C"/>
                <w:sz w:val="17"/>
                <w:szCs w:val="17"/>
              </w:rPr>
              <w:t xml:space="preserve">Flow</w:t>
            </w:r>
          </w:p>
        </w:tc>
        <w:tc>
          <w:tcPr>
            <w:tcW w:type="dxa" w:w="7459"/>
            <w:shd w:fill="F3F0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A554C"/>
                <w:sz w:val="17"/>
                <w:szCs w:val="17"/>
              </w:rPr>
              <w:t xml:space="preserve">Lógica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Crear_Orden_Servicio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Recibe VIN, identificador de franja y código de sucursal. Valida que la franja exista, que su procedencia esté acreditada —rechaza con SLOT_NO_VERIFICADO cualquier franja de capacidad asumida—, que se respete la anticipación mínima de esa sucursal y que quede cupo. Crea la WorkOrder ligada a la unidad y a la franja, ocupa el lugar y devuelve el folio. Deriva su clave de idempotencia de la conversación, así que repetir la petición no agenda dos veces.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Reprogramar_Orden_Servicio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Recibe el folio existente y la nueva franja. Mueve la cita conservando el folio —el invariante es «mueve, no crea»— y libera el lugar anterior. Cuando la ventana de reprogramación ya no lo permite, deriva a un caso para que un asesor lo revise, en lugar de fallar en silencio o inventar un cambio.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Crear_Reporte_Unidad_Varada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Levanta Unidad_Varada__c con lo mínimo indispensable: carretera y descripción de la falla. VIN y kilómetro son opcionales a propósito. Marca prioridad crítica, guarda las respuestas de seguridad tal como se recibieron y devuelve el aviso de seguridad junto con el folio de asistencia.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Registrar_Log_Agente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Subflow invocado por los tres anteriores en las rutas de éxito, bloqueo y error. Escribe Log_Agente__c con el identificador de correlación, el subagente, la acción, el resultado y el registro afectado. Al ser subflow y no una llamada opcional, ninguna acción puede olvidar su traza.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A0690A"/>
          <w:sz w:val="21"/>
          <w:szCs w:val="21"/>
        </w:rPr>
        <w:t xml:space="preserve">Lo que no decide el modelo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La cobertura de garantía se evalúa contra el custom setting </w:t>
      </w:r>
      <w:r>
        <w:rPr>
          <w:rFonts w:ascii="Consolas" w:cs="Consolas" w:eastAsia="Consolas" w:hAnsi="Consolas"/>
          <w:color w:val="1B1A17"/>
          <w:sz w:val="18"/>
          <w:szCs w:val="18"/>
        </w:rPr>
        <w:t xml:space="preserve">Parametros_Garantia__c</w:t>
      </w:r>
      <w:r>
        <w:rPr>
          <w:rFonts w:ascii="Calibri" w:cs="Calibri" w:eastAsia="Calibri" w:hAnsi="Calibri"/>
          <w:color w:val="1B1A17"/>
          <w:sz w:val="20"/>
          <w:szCs w:val="20"/>
        </w:rPr>
        <w:t xml:space="preserve"> —250 000 km y 24 meses— usando el odómetro registrado, y devuelve CUBIERTO, NO_CUBIERTO o REQUIERE_DATO.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Diecisiete reglas de validación activas protegen la consistencia. Entre ellas </w:t>
      </w:r>
      <w:r>
        <w:rPr>
          <w:rFonts w:ascii="Consolas" w:cs="Consolas" w:eastAsia="Consolas" w:hAnsi="Consolas"/>
          <w:color w:val="1B1A17"/>
          <w:sz w:val="18"/>
          <w:szCs w:val="18"/>
        </w:rPr>
        <w:t xml:space="preserve">Error_Requiere_Codigo</w:t>
      </w:r>
      <w:r>
        <w:rPr>
          <w:rFonts w:ascii="Calibri" w:cs="Calibri" w:eastAsia="Calibri" w:hAnsi="Calibri"/>
          <w:color w:val="1B1A17"/>
          <w:sz w:val="20"/>
          <w:szCs w:val="20"/>
        </w:rPr>
        <w:t xml:space="preserve">, que obliga a que todo resultado ERROR o BLOCKED traiga código o guardrail, para que un bloqueo siempre sea auditable.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El catálogo operativo comprende nueve talleres y 803 franjas; sólo las marcadas OPERACIONAL_VERIFICADO son reservables, y la acción de disponibilidad no ofrece ninguna otra.</w:t>
      </w:r>
    </w:p>
    <w:p>
      <w:pPr>
        <w:pBdr>
          <w:bottom w:val="single" w:color="A0690A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B1A17"/>
          <w:sz w:val="24"/>
          <w:szCs w:val="24"/>
        </w:rPr>
        <w:t xml:space="preserve">5 · Artículos de Knowledge utilizados</w:t>
      </w:r>
    </w:p>
    <w:p>
      <w:pPr>
        <w:spacing w:after="120" w:line="26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La acción estándar de Knowledge no era funcional en la organización (Data Library sin aprovisionar), así que se construyó una clase Apex invocable propia, </w:t>
      </w:r>
      <w:r>
        <w:rPr>
          <w:rFonts w:ascii="Consolas" w:cs="Consolas" w:eastAsia="Consolas" w:hAnsi="Consolas"/>
          <w:color w:val="1B1A17"/>
          <w:sz w:val="18"/>
          <w:szCs w:val="18"/>
        </w:rPr>
        <w:t xml:space="preserve">BuscarConocimientoPostventa</w:t>
      </w:r>
      <w:r>
        <w:rPr>
          <w:rFonts w:ascii="Calibri" w:cs="Calibri" w:eastAsia="Calibri" w:hAnsi="Calibri"/>
          <w:color w:val="1B1A17"/>
          <w:sz w:val="20"/>
          <w:szCs w:val="20"/>
        </w:rPr>
        <w:t xml:space="preserve">, con búsqueda SOSL sobre los artículos publicados y respaldo SOQL por título y resumen. Devuelve el contenido convertido a texto plano y limitado a tres artículos, lo que hace la respuesta determinista y citable: el agente reproduce el artículo en vez de parafrasearlo. Además comprueba si el número de serie dictado existe en el padrón y escribe su traza con el artículo consultado y su versión de política.</w:t>
      </w:r>
    </w:p>
    <w:p>
      <w:pPr>
        <w:spacing w:after="100" w:line="26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Corpus: </w:t>
      </w:r>
      <w:r>
        <w:rPr>
          <w:rFonts w:ascii="Calibri" w:cs="Calibri" w:eastAsia="Calibri" w:hAnsi="Calibri"/>
          <w:b/>
          <w:bCs/>
          <w:color w:val="1B1A17"/>
          <w:sz w:val="20"/>
          <w:szCs w:val="20"/>
        </w:rPr>
        <w:t xml:space="preserve">20 artículos publicados en español.</w:t>
      </w:r>
    </w:p>
    <w:tbl>
      <w:tblPr>
        <w:tblW w:type="dxa" w:w="10080"/>
        <w:tblBorders>
          <w:top w:val="single" w:color="D8D2C7" w:sz="4"/>
          <w:left w:val="single" w:color="D8D2C7" w:sz="4"/>
          <w:bottom w:val="single" w:color="D8D2C7" w:sz="4"/>
          <w:right w:val="single" w:color="D8D2C7" w:sz="4"/>
          <w:insideH w:val="single" w:color="D8D2C7" w:sz="4"/>
          <w:insideV w:val="single" w:color="D8D2C7" w:sz="4"/>
        </w:tblBorders>
      </w:tblPr>
      <w:tblGrid>
        <w:gridCol w:w="4234"/>
        <w:gridCol w:w="5846"/>
      </w:tblGrid>
      <w:tr>
        <w:trPr>
          <w:tblHeader/>
        </w:trPr>
        <w:tc>
          <w:tcPr>
            <w:tcW w:type="dxa" w:w="4234"/>
            <w:shd w:fill="F3F0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A554C"/>
                <w:sz w:val="17"/>
                <w:szCs w:val="17"/>
              </w:rPr>
              <w:t xml:space="preserve">Artículo</w:t>
            </w:r>
          </w:p>
        </w:tc>
        <w:tc>
          <w:tcPr>
            <w:tcW w:type="dxa" w:w="5846"/>
            <w:shd w:fill="F3F0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A554C"/>
                <w:sz w:val="17"/>
                <w:szCs w:val="17"/>
              </w:rPr>
              <w:t xml:space="preserve">Qué resuelve</w:t>
            </w:r>
          </w:p>
        </w:tc>
      </w:tr>
      <w:tr>
        <w:trPr>
          <w:tblHeader w:val="false"/>
        </w:trP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Cobertura de garantia basica por componente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Qué cubre la garantía de fábrica y por cuánto tiempo</w:t>
            </w:r>
          </w:p>
        </w:tc>
      </w:tr>
      <w:tr>
        <w:trPr>
          <w:tblHeader w:val="false"/>
        </w:trP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Garantia extendida de tren motriz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Componentes incluidos, vigencia, deducible y condiciones</w:t>
            </w:r>
          </w:p>
        </w:tc>
      </w:tr>
      <w:tr>
        <w:trPr>
          <w:tblHeader w:val="false"/>
        </w:trP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Garantia de refacciones y mano de obra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Plazos por tipo de refacción</w:t>
            </w:r>
          </w:p>
        </w:tc>
      </w:tr>
      <w:tr>
        <w:trPr>
          <w:tblHeader w:val="false"/>
        </w:trP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Causas de invalidacion de garantia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Qué la cancela: aceites no especificados, sobrepeso, alteración de odómetro</w:t>
            </w:r>
          </w:p>
        </w:tc>
      </w:tr>
      <w:tr>
        <w:trPr>
          <w:tblHeader w:val="false"/>
        </w:trP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Requisitos documentales para reclamo de garantia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Qué papeles pide Zapata</w:t>
            </w:r>
          </w:p>
        </w:tc>
      </w:tr>
      <w:tr>
        <w:trPr>
          <w:tblHeader w:val="false"/>
        </w:trP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Servicio preventivo de 10,000 km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Alcance, duración y costo aproximado</w:t>
            </w:r>
          </w:p>
        </w:tc>
      </w:tr>
      <w:tr>
        <w:trPr>
          <w:tblHeader w:val="false"/>
        </w:trP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Servicio preventivo de 40,000 km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Alcance, duración y costo aproximado</w:t>
            </w:r>
          </w:p>
        </w:tc>
      </w:tr>
      <w:tr>
        <w:trPr>
          <w:tblHeader w:val="false"/>
        </w:trP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Servicio preventivo de 80,000 km y mayores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Incluye revisión de turbocargador y admisión</w:t>
            </w:r>
          </w:p>
        </w:tc>
      </w:tr>
      <w:tr>
        <w:trPr>
          <w:tblHeader w:val="false"/>
        </w:trP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Aceites y lubricantes autorizados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Especificaciones admitidas</w:t>
            </w:r>
          </w:p>
        </w:tc>
      </w:tr>
      <w:tr>
        <w:trPr>
          <w:tblHeader w:val="false"/>
        </w:trP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Requisitos para ingresar una unidad a taller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Condiciones de recepción</w:t>
            </w:r>
          </w:p>
        </w:tc>
      </w:tr>
      <w:tr>
        <w:trPr>
          <w:tblHeader w:val="false"/>
        </w:trP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Codigos de falla SPN y FMI mas frecuentes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Interpretación y acción sugerida</w:t>
            </w:r>
          </w:p>
        </w:tc>
      </w:tr>
      <w:tr>
        <w:trPr>
          <w:tblHeader w:val="false"/>
        </w:trP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Luces de tablero: significado y accion inmediata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Qué hacer ante cada testigo</w:t>
            </w:r>
          </w:p>
        </w:tc>
      </w:tr>
      <w:tr>
        <w:trPr>
          <w:tblHeader w:val="false"/>
        </w:trP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Fallas comunes del sistema de frenos de aire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Diagnóstico y riesgos</w:t>
            </w:r>
          </w:p>
        </w:tc>
      </w:tr>
      <w:tr>
        <w:trPr>
          <w:tblHeader w:val="false"/>
        </w:trP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Regeneracion del filtro de particulas (DPF)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Procedimiento y señales</w:t>
            </w:r>
          </w:p>
        </w:tc>
      </w:tr>
      <w:tr>
        <w:trPr>
          <w:tblHeader w:val="false"/>
        </w:trP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Sistema de post-tratamiento y AdBlue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Consumo, calidad y fallas</w:t>
            </w:r>
          </w:p>
        </w:tc>
      </w:tr>
      <w:tr>
        <w:trPr>
          <w:tblHeader w:val="false"/>
        </w:trP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Protocolo de unidad varada en carretera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Qué hacer antes de que llegue el auxilio</w:t>
            </w:r>
          </w:p>
        </w:tc>
      </w:tr>
      <w:tr>
        <w:trPr>
          <w:tblHeader w:val="false"/>
        </w:trP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Asistencia en carretera: cobertura y tiempos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Qué cubre y en cuánto responde</w:t>
            </w:r>
          </w:p>
        </w:tc>
      </w:tr>
      <w:tr>
        <w:trPr>
          <w:tblHeader w:val="false"/>
        </w:trP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Politica de grua y traslado de unidades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Cuándo aplica y hasta dónde</w:t>
            </w:r>
          </w:p>
        </w:tc>
      </w:tr>
      <w:tr>
        <w:trPr>
          <w:tblHeader w:val="false"/>
        </w:trP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Politica de unidad sustituta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Cuándo procede</w:t>
            </w:r>
          </w:p>
        </w:tc>
      </w:tr>
      <w:tr>
        <w:trPr>
          <w:tblHeader w:val="false"/>
        </w:trP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Tiempos de entrega de refacciones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Plazos por tipo de componente</w:t>
            </w:r>
          </w:p>
        </w:tc>
      </w:tr>
    </w:tbl>
    <w:p>
      <w:pPr>
        <w:spacing w:after="120" w:line="260"/>
      </w:pPr>
      <w:r>
        <w:rPr>
          <w:rFonts w:ascii="Calibri" w:cs="Calibri" w:eastAsia="Calibri" w:hAnsi="Calibri"/>
          <w:b/>
          <w:bCs/>
          <w:color w:val="1B1A17"/>
          <w:sz w:val="20"/>
          <w:szCs w:val="20"/>
        </w:rPr>
        <w:t xml:space="preserve">Procedencia declarada. </w:t>
      </w:r>
      <w:r>
        <w:rPr>
          <w:rFonts w:ascii="Calibri" w:cs="Calibri" w:eastAsia="Calibri" w:hAnsi="Calibri"/>
          <w:color w:val="1B1A17"/>
          <w:sz w:val="20"/>
          <w:szCs w:val="20"/>
        </w:rPr>
        <w:t xml:space="preserve">El material del reto es sintético y no verificado. Cada artículo lleva su versión de política, la acción la devuelve, y el agente la comunica en lenguaje natural sin presentarla como póliza oficial. Si el cliente cuestiona la fuente, repite su estado literal. Es la diferencia entre un agente que cita y uno que finge certeza.</w:t>
      </w:r>
    </w:p>
    <w:p>
      <w:pPr>
        <w:pBdr>
          <w:bottom w:val="single" w:color="A0690A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B1A17"/>
          <w:sz w:val="24"/>
          <w:szCs w:val="24"/>
        </w:rPr>
        <w:t xml:space="preserve">6 · Trazabilidad</w:t>
      </w:r>
    </w:p>
    <w:p>
      <w:pPr>
        <w:spacing w:after="120" w:line="26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Cada acción escribe en </w:t>
      </w:r>
      <w:r>
        <w:rPr>
          <w:rFonts w:ascii="Consolas" w:cs="Consolas" w:eastAsia="Consolas" w:hAnsi="Consolas"/>
          <w:color w:val="1B1A17"/>
          <w:sz w:val="18"/>
          <w:szCs w:val="18"/>
        </w:rPr>
        <w:t xml:space="preserve">Log_Agente__c</w:t>
      </w:r>
      <w:r>
        <w:rPr>
          <w:rFonts w:ascii="Calibri" w:cs="Calibri" w:eastAsia="Calibri" w:hAnsi="Calibri"/>
          <w:color w:val="1B1A17"/>
          <w:sz w:val="20"/>
          <w:szCs w:val="20"/>
        </w:rPr>
        <w:t xml:space="preserve"> con </w:t>
      </w:r>
      <w:r>
        <w:rPr>
          <w:rFonts w:ascii="Consolas" w:cs="Consolas" w:eastAsia="Consolas" w:hAnsi="Consolas"/>
          <w:color w:val="1B1A17"/>
          <w:sz w:val="18"/>
          <w:szCs w:val="18"/>
        </w:rPr>
        <w:t xml:space="preserve">Correlation_Id__c</w:t>
      </w:r>
      <w:r>
        <w:rPr>
          <w:rFonts w:ascii="Calibri" w:cs="Calibri" w:eastAsia="Calibri" w:hAnsi="Calibri"/>
          <w:color w:val="1B1A17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B1A17"/>
          <w:sz w:val="18"/>
          <w:szCs w:val="18"/>
        </w:rPr>
        <w:t xml:space="preserve">Related_Record_Id__c</w:t>
      </w:r>
      <w:r>
        <w:rPr>
          <w:rFonts w:ascii="Calibri" w:cs="Calibri" w:eastAsia="Calibri" w:hAnsi="Calibri"/>
          <w:color w:val="1B1A17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B1A17"/>
          <w:sz w:val="18"/>
          <w:szCs w:val="18"/>
        </w:rPr>
        <w:t xml:space="preserve">Guardrail_Triggered__c</w:t>
      </w:r>
      <w:r>
        <w:rPr>
          <w:rFonts w:ascii="Calibri" w:cs="Calibri" w:eastAsia="Calibri" w:hAnsi="Calibri"/>
          <w:color w:val="1B1A17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B1A17"/>
          <w:sz w:val="18"/>
          <w:szCs w:val="18"/>
        </w:rPr>
        <w:t xml:space="preserve">Odometer_Used__c</w:t>
      </w:r>
      <w:r>
        <w:rPr>
          <w:rFonts w:ascii="Calibri" w:cs="Calibri" w:eastAsia="Calibri" w:hAnsi="Calibri"/>
          <w:color w:val="1B1A17"/>
          <w:sz w:val="20"/>
          <w:szCs w:val="20"/>
        </w:rPr>
        <w:t xml:space="preserve"> y su origen, </w:t>
      </w:r>
      <w:r>
        <w:rPr>
          <w:rFonts w:ascii="Consolas" w:cs="Consolas" w:eastAsia="Consolas" w:hAnsi="Consolas"/>
          <w:color w:val="1B1A17"/>
          <w:sz w:val="18"/>
          <w:szCs w:val="18"/>
        </w:rPr>
        <w:t xml:space="preserve">Policy_Version__c</w:t>
      </w:r>
      <w:r>
        <w:rPr>
          <w:rFonts w:ascii="Calibri" w:cs="Calibri" w:eastAsia="Calibri" w:hAnsi="Calibri"/>
          <w:color w:val="1B1A17"/>
          <w:sz w:val="20"/>
          <w:szCs w:val="20"/>
        </w:rPr>
        <w:t xml:space="preserve"> y </w:t>
      </w:r>
      <w:r>
        <w:rPr>
          <w:rFonts w:ascii="Consolas" w:cs="Consolas" w:eastAsia="Consolas" w:hAnsi="Consolas"/>
          <w:color w:val="1B1A17"/>
          <w:sz w:val="18"/>
          <w:szCs w:val="18"/>
        </w:rPr>
        <w:t xml:space="preserve">Unit_Verified__c</w:t>
      </w:r>
      <w:r>
        <w:rPr>
          <w:rFonts w:ascii="Calibri" w:cs="Calibri" w:eastAsia="Calibri" w:hAnsi="Calibri"/>
          <w:color w:val="1B1A17"/>
          <w:sz w:val="20"/>
          <w:szCs w:val="20"/>
        </w:rPr>
        <w:t xml:space="preserve">. La organización acumula 361 registros generados durante construcción y pruebas. Un mismo identificador de correlación permite reconstruir una conversación completa: qué subagente actuó, qué acción ejecutó, sobre qué registro y con qué resultado.</w:t>
      </w:r>
    </w:p>
    <w:p>
      <w:pPr>
        <w:pBdr>
          <w:bottom w:val="single" w:color="A0690A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B1A17"/>
          <w:sz w:val="24"/>
          <w:szCs w:val="24"/>
        </w:rPr>
        <w:t xml:space="preserve">7 · Verificación</w:t>
      </w:r>
    </w:p>
    <w:p>
      <w:pPr>
        <w:spacing w:after="120" w:line="26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Lo que sostiene este documento no es una corrida manual, son gates que cualquiera puede volver a ejecutar contra la organización: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139/139 pruebas unitarias del servidor y sus reglas.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80/80 comprobaciones del contrato de la Agent API.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41 casos e2e de rutas, interfaz y seguridad; 21/21 pruebas Apex en la org.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0 violaciones del sistema de diseño en siete estados de pantalla, contraste incluido.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Conversaciones completas releídas de Salesforce por el CLI —nunca por la propia aplicación— y una sonda de generalidad que recorre las 15 unidades de la flota y los nueve talleres con datos que no son los del demo.</w:t>
      </w:r>
    </w:p>
    <w:p>
      <w:pPr>
        <w:pBdr>
          <w:bottom w:val="single" w:color="A0690A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B1A17"/>
          <w:sz w:val="24"/>
          <w:szCs w:val="24"/>
        </w:rPr>
        <w:t xml:space="preserve">8 · Límites declarados</w:t>
      </w:r>
    </w:p>
    <w:p>
      <w:pPr>
        <w:spacing w:after="120" w:line="26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Por rigor y no por omisión: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El escalamiento entrega un Case enrutado a la cola de postventa, no una transferencia en vivo por Omni-Channel, y el agente lo comunica en esos términos.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Ocho de los nueve talleres publican horario pero su cupo no está confirmado con el taller. El agente no los ofrece: dice que el horario existe, quién lo confirma y en qué taller sí se puede apartar hoy. Mientras esas franjas no se verifiquen, sólo Querétaro reserva en el acto.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El modelo T680 no está dado de alta en la red. El agente lo dice y pasa con un asesor en vez de ofrecer una búsqueda que no puede terminar bien. Cargar esas filas es una decisión operativa del negocio.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La acción de conocimiento ya escribe su traza; falta refrescar la acción en Agent Builder para que el planner le pase el identificador de correlación. El esquema de entrada de una acción no se despliega por metadata.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Técnico — Agente Postventa Zapata</dc:title>
  <dc:creator>Equipo 35 — Hackatón IA Agéntica</dc:creator>
  <dc:description>Arquitectura, Topics, Flows y artículos de Knowledge</dc:description>
  <cp:lastModifiedBy>Un-named</cp:lastModifiedBy>
  <cp:revision>1</cp:revision>
  <dcterms:created xsi:type="dcterms:W3CDTF">2026-08-12T23:15:47.329Z</dcterms:created>
  <dcterms:modified xsi:type="dcterms:W3CDTF">2026-08-12T23:15:47.330Z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