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A0690A"/>
          <w:sz w:val="16"/>
          <w:szCs w:val="16"/>
        </w:rPr>
        <w:t xml:space="preserve">HACKATÓN IA AGÉNTICA · EQUIPO 35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A17"/>
          <w:sz w:val="38"/>
          <w:szCs w:val="38"/>
        </w:rPr>
        <w:t xml:space="preserve">Ficha Técnica</w:t>
      </w:r>
    </w:p>
    <w:p>
      <w:pPr>
        <w:pBdr>
          <w:bottom w:val="single" w:color="A0690A" w:sz="12" w:space="6"/>
        </w:pBdr>
        <w:spacing w:after="160"/>
      </w:pPr>
      <w:r>
        <w:rPr>
          <w:rFonts w:ascii="Calibri" w:cs="Calibri" w:eastAsia="Calibri" w:hAnsi="Calibri"/>
          <w:color w:val="5A554C"/>
          <w:sz w:val="22"/>
          <w:szCs w:val="22"/>
        </w:rPr>
        <w:t xml:space="preserve">Agente Postventa Zapata · Corporación Zapata (camiones pesados)</w:t>
      </w:r>
    </w:p>
    <w:p>
      <w:pPr>
        <w:spacing w:after="200" w:line="260"/>
      </w:pPr>
      <w:r>
        <w:rPr>
          <w:rFonts w:ascii="Calibri" w:cs="Calibri" w:eastAsia="Calibri" w:hAnsi="Calibri"/>
          <w:color w:val="5A554C"/>
          <w:sz w:val="17"/>
          <w:szCs w:val="17"/>
        </w:rPr>
        <w:t xml:space="preserve">Diego González Garduño — Arquitecto de agente  ·  Gabriel Valadez Gómez — Desarrollador de plataforma  ·  Mtra. Guadalupe Becerra Doncel — Mentora     |     Org 00DgK00000VXSyCUAX · API 67.0 · 12 de agosto de 2026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El reto y la solución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Corporación Zapata da servicio a camiones pesados en nueve talleres del país. Cada consulta de postventa ocupa a un asesor cruzando a mano VIN, kilometraje, póliza y disponibilidad. El Agente Postventa Zapata resuelve cuatro conversaciones de extremo a extremo —cobertura, cita de taller, unidad varada y escalamiento— con efecto real en el CRM: crea y mueve órdenes de servicio, levanta reportes de carretera y abre casos en la cola de postventa.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Un solo agente con una capa de clasificación que enruta a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seis Topics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: cuatro resuelven trabajo y dos son guardrails de contención. Las Actions son Flows autolaunched y clases Apex invocables.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Ninguna regla de negocio vive únicamente en lenguaje natural.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Topics</w:t>
      </w:r>
    </w:p>
    <w:tbl>
      <w:tblPr>
        <w:tblW w:type="dxa" w:w="10080"/>
        <w:tblBorders>
          <w:top w:val="single" w:color="D8D2C7" w:sz="4"/>
          <w:left w:val="single" w:color="D8D2C7" w:sz="4"/>
          <w:bottom w:val="single" w:color="D8D2C7" w:sz="4"/>
          <w:right w:val="single" w:color="D8D2C7" w:sz="4"/>
          <w:insideH w:val="single" w:color="D8D2C7" w:sz="4"/>
          <w:insideV w:val="single" w:color="D8D2C7" w:sz="4"/>
        </w:tblBorders>
      </w:tblPr>
      <w:tblGrid>
        <w:gridCol w:w="2621"/>
        <w:gridCol w:w="4435"/>
        <w:gridCol w:w="3024"/>
      </w:tblGrid>
      <w:tr>
        <w:trPr>
          <w:tblHeader/>
        </w:trPr>
        <w:tc>
          <w:tcPr>
            <w:tcW w:type="dxa" w:w="2621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Topic</w:t>
            </w:r>
          </w:p>
        </w:tc>
        <w:tc>
          <w:tcPr>
            <w:tcW w:type="dxa" w:w="4435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Qué atiende</w:t>
            </w:r>
          </w:p>
        </w:tc>
        <w:tc>
          <w:tcPr>
            <w:tcW w:type="dxa" w:w="3024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Actions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agent_router
(clasificación)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Da la bienvenida en es_MX y decide el Topic según la intención. Un mensaje genérico va a aclaración, nunca a escalamiento.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Transición a los seis Topics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conocimiento_y_respuestas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Garantías, coberturas, mantenimiento, costos, códigos de falla, requisitos de taller y tiempos de refacciones.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Buscar_Conocimiento_Postventa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agendar_servicio_taller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Agendar, reprogramar o cancelar servicio en taller para unidades de la flotilla.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Consultar_disponibilidad_de_taller · Crear_Orden_Servicio · Reprogramar_Orden_Servicio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atencion_unidades_varadas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Reportes de unidades inmovilizadas y coordinación de asistencia en carretera.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Crear_Reporte_Unidad_Varada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escalamiento_asesor_humano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Petición explícita de una persona, queja, autorización de garantía o riesgo de seguridad.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Crear_Escalamiento_Asesor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off_topic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Declina lo ajeno a postventa de camiones y reencauza.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— (contención)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ambiguous_question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Pide la precisión mínima antes de actuar.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— (contención)</w:t>
            </w:r>
          </w:p>
        </w:tc>
      </w:tr>
    </w:tbl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Instructions</w:t>
      </w:r>
    </w:p>
    <w:p>
      <w:pPr>
        <w:spacing w:after="100" w:line="260"/>
      </w:pPr>
      <w:r>
        <w:rPr>
          <w:rFonts w:ascii="Calibri" w:cs="Calibri" w:eastAsia="Calibri" w:hAnsi="Calibri"/>
          <w:color w:val="5A554C"/>
          <w:sz w:val="18"/>
          <w:szCs w:val="18"/>
        </w:rPr>
        <w:t xml:space="preserve">Las directrices configuradas en cada Topic. Se listan las que gobiernan una decisión, no las de estilo.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Identidad y autonomía (agendar_servicio_taller)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Sin un VIN válido de 17 caracteres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no se ejecuta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Crear_Orden_Servicio: se explica por qué y se ofrece un asesor.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Se consulta disponibilidad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siempre antes de agendar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, aunque el cliente ya haya dicho el día. Sólo se pueden ofrecer las franjas que esa acción devuelve.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La petición del cliente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es su autorización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: se ejecuta y se reporta, sin pedir un «¿confirmas?» que rompería la resolución autónoma.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Nunca se mencionan identificadores internos de franja, unidad o cuenta. El cliente sólo recibe folios, días y horas.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La presencia de una franja en Salesforce no demuestra disponibilidad operativa: sólo puede llamarse cupo confirmado después de que la acción devuelva una franja verificada.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Procedencia declarada (conocimiento_y_respuestas)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Se responde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únicamente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con el campo Contenido de los artículos. Prohibido inferir kilometrajes, costos, tiempos o coberturas que no aparezcan textualmente.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>El contenido sintético nunca se presenta como una conclusión: prohibido concluir que una unidad está dentro o fuera de cobertura, autorizar una garantía o recomendar una decisión operativa con base en ese material, aunque se repitan sus cifras.</w:t>
      </w:r>
      <w:r>
        <w:rPr>
          <w:rFonts w:ascii="Consolas" w:cs="Consolas" w:eastAsia="Consolas" w:hAnsi="Consolas"/>
          <w:color w:val="1B1A17"/>
          <w:sz w:val="18"/>
          <w:szCs w:val="18"/>
        </w:rPr>
      </w:r>
      <w:r>
        <w:rPr>
          <w:rFonts w:ascii="Calibri" w:cs="Calibri" w:eastAsia="Calibri" w:hAnsi="Calibri"/>
          <w:color w:val="1B1A17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>Se responde directo a lo que preguntó el cliente y se cierra con una sola frase en lenguaje natural que declara el material como apoyo no verificado y sugiere confirmarlo con un asesor. Sin etiquetas fijas de sistema en la respuesta.</w:t>
      </w:r>
      <w:r>
        <w:rPr>
          <w:rFonts w:ascii="Consolas" w:cs="Consolas" w:eastAsia="Consolas" w:hAnsi="Consolas"/>
          <w:color w:val="1B1A17"/>
          <w:sz w:val="18"/>
          <w:szCs w:val="18"/>
        </w:rPr>
      </w:r>
      <w:r>
        <w:rPr>
          <w:rFonts w:ascii="Calibri" w:cs="Calibri" w:eastAsia="Calibri" w:hAnsi="Calibri"/>
          <w:color w:val="1B1A17"/>
          <w:sz w:val="20"/>
          <w:szCs w:val="20"/>
        </w:rPr>
      </w:r>
      <w:r>
        <w:rPr>
          <w:rFonts w:ascii="Consolas" w:cs="Consolas" w:eastAsia="Consolas" w:hAnsi="Consolas"/>
          <w:color w:val="1B1A17"/>
          <w:sz w:val="18"/>
          <w:szCs w:val="18"/>
        </w:rPr>
      </w:r>
      <w:r>
        <w:rPr>
          <w:rFonts w:ascii="Calibri" w:cs="Calibri" w:eastAsia="Calibri" w:hAnsi="Calibri"/>
          <w:color w:val="1B1A17"/>
          <w:sz w:val="20"/>
          <w:szCs w:val="20"/>
        </w:rPr>
      </w:r>
      <w:r>
        <w:rPr>
          <w:rFonts w:ascii="Consolas" w:cs="Consolas" w:eastAsia="Consolas" w:hAnsi="Consolas"/>
          <w:color w:val="1B1A17"/>
          <w:sz w:val="18"/>
          <w:szCs w:val="18"/>
        </w:rPr>
      </w:r>
      <w:r>
        <w:rPr>
          <w:rFonts w:ascii="Calibri" w:cs="Calibri" w:eastAsia="Calibri" w:hAnsi="Calibri"/>
          <w:color w:val="1B1A17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Si el cliente pregunta si la información es oficial, se repite el estado literal de la fuente. Prohibido afirmar que proviene de sistemas verificados: eso no le consta al agente.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Si el número de serie no existe en el padrón, el aviso va antes que cualquier otra línea y el material no se presenta como la cobertura de esa unidad.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Seguridad primero, sin retener el auxilio (atencion_unidades_varadas)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El primer mensaje confirma siempre que el operador esté fuera del carril y con intermitentes encendidas.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Con la carretera y la falla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ya se registra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: no se espera al VIN ni al kilómetro. Una unidad sobre el carril es más urgente, no menos, y retener el reporte retrasa la grúa.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Las respuestas de seguridad van en verdadero sólo si el operador las confirmó. Si no contestó, van en falso: no se suponen.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Escalamiento honesto (escalamiento_asesor_humano)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Se escala sin discutir ante: petición explícita, queja, autorización de garantía o monto, y riesgo de seguridad.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No se declara una transferencia en vivo: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esta organización enruta mediante Case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. Prometer otra cosa sería mentir.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Si el registro falla, no se inventa folio ni se afirma que escaló: se comunica el error real.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0690A"/>
          <w:sz w:val="21"/>
          <w:szCs w:val="21"/>
        </w:rPr>
        <w:t xml:space="preserve">Contención (off_topic · ambiguous_question)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Fuera de postventa de camiones —incluidas compra de unidades, financiamiento, seguros y recursos humanos— se declina y se ofrece un asesor.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Ante una intención incompleta se pide aclaración con opciones concretas. Una petición ambigua nunca se escala.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Actions</w:t>
      </w:r>
    </w:p>
    <w:tbl>
      <w:tblPr>
        <w:tblW w:type="dxa" w:w="10080"/>
        <w:tblBorders>
          <w:top w:val="single" w:color="D8D2C7" w:sz="4"/>
          <w:left w:val="single" w:color="D8D2C7" w:sz="4"/>
          <w:bottom w:val="single" w:color="D8D2C7" w:sz="4"/>
          <w:right w:val="single" w:color="D8D2C7" w:sz="4"/>
          <w:insideH w:val="single" w:color="D8D2C7" w:sz="4"/>
          <w:insideV w:val="single" w:color="D8D2C7" w:sz="4"/>
        </w:tblBorders>
      </w:tblPr>
      <w:tblGrid>
        <w:gridCol w:w="3024"/>
        <w:gridCol w:w="1613"/>
        <w:gridCol w:w="5443"/>
      </w:tblGrid>
      <w:tr>
        <w:trPr>
          <w:tblHeader/>
        </w:trPr>
        <w:tc>
          <w:tcPr>
            <w:tcW w:type="dxa" w:w="3024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Action</w:t>
            </w:r>
          </w:p>
        </w:tc>
        <w:tc>
          <w:tcPr>
            <w:tcW w:type="dxa" w:w="1613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Tipo</w:t>
            </w:r>
          </w:p>
        </w:tc>
        <w:tc>
          <w:tcPr>
            <w:tcW w:type="dxa" w:w="5443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Qué hace y qué garantiza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Buscar_Conocimiento_Postventa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Apex invocable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SOSL sobre los 20 artículos publicados, con respaldo SOQL por título y resumen. Devuelve el contenido en texto plano, limitado a tres artículos, con su estado de fuente y advertencia. Detecta un VIN inexistente y antepone el aviso dentro del contenido. Escribe su traza con el artículo consultado y la versión de política.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Consultar_disponibilidad_de_taller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Apex invocable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Resuelve el taller por código o nombre, valida que atienda ese modelo, aplica la anticipación mínima de la sucursal y devuelve sólo franjas que el alta acepta. Si el taller publica horario sin cupo confirmado no devuelve ninguna opción: dice cuántos publica, quién lo confirma y en qué taller sí se puede apartar hoy.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Crear_Orden_Servicio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Flow autolaunched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Alta real de WorkOrder sobre la franja elegida. Valida la anticipación mínima, ocupa el cupo y rechaza cualquier franja sin procedencia acreditada. Deriva su clave de idempotencia, así que repetir la petición no agenda dos veces.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Reprogramar_Orden_Servicio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Flow autolaunched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Mueve la cita existente conservando el folio. Cuando la ventana ya no lo permite, deriva a un caso en lugar de fallar en silencio.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Crear_Reporte_Unidad_Varada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Flow autolaunched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Levanta Unidad_Varada__c con lo mínimo indispensable —carretera y falla— y prioridad crítica. Devuelve el aviso de seguridad para que el agente lo lea antes del folio.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Crear_Escalamiento_Asesor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Apex invocable</w:t>
            </w:r>
          </w:p>
        </w:tc>
        <w:tc>
          <w:tcPr>
            <w:tcW w:type="dxa" w:w="5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Abre el Case en la cola de postventa con la conversación adjunta como comentarios internos. Idempotente por Idempotency_Key__c: un reintento no duplica el caso.</w:t>
            </w:r>
          </w:p>
        </w:tc>
      </w:tr>
    </w:tbl>
    <w:p>
      <w:pPr>
        <w:spacing w:after="100" w:line="260"/>
      </w:pPr>
      <w:r>
        <w:rPr>
          <w:rFonts w:ascii="Calibri" w:cs="Calibri" w:eastAsia="Calibri" w:hAnsi="Calibri"/>
          <w:color w:val="1B1A17"/>
          <w:sz w:val="19"/>
          <w:szCs w:val="19"/>
        </w:rPr>
        <w:t xml:space="preserve">Un quinto Flow,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Registrar_Log_Agente</w:t>
      </w:r>
      <w:r>
        <w:rPr>
          <w:rFonts w:ascii="Calibri" w:cs="Calibri" w:eastAsia="Calibri" w:hAnsi="Calibri"/>
          <w:color w:val="1B1A17"/>
          <w:sz w:val="19"/>
          <w:szCs w:val="19"/>
        </w:rPr>
        <w:t xml:space="preserve">, es un subflow que los tres anteriores invocan en las rutas de éxito, bloqueo y error, de modo que ninguna acción pueda olvidar su traza. Cada registro lleva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Correlation_Id__c</w:t>
      </w:r>
      <w:r>
        <w:rPr>
          <w:rFonts w:ascii="Calibri" w:cs="Calibri" w:eastAsia="Calibri" w:hAnsi="Calibri"/>
          <w:color w:val="1B1A17"/>
          <w:sz w:val="19"/>
          <w:szCs w:val="19"/>
        </w:rPr>
        <w:t xml:space="preserve">, que amarra la conversación completa desde la primera pregunta hasta el caso que atiende un asesor.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Verificación</w:t>
      </w:r>
    </w:p>
    <w:p>
      <w:pPr>
        <w:spacing w:after="120" w:line="26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Todo lo afirmado aquí se comprueba con gates reproducibles contra la organización: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139/139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pruebas unitarias del servidor,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80/80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del contrato de la Agent API,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41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casos e2e,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21/21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pruebas Apex en la org,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0 violaciones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del sistema de diseño en siete estados de pantalla, y dos sondas que conversan con el agente usando datos que no son los del demo: las 15 unidades de la flota y los 9 talleres. Última corrida: 12 de agosto de 2026, en verde.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— Agente Postventa Zapata</dc:title>
  <dc:creator>Equipo 35 — Hackatón IA Agéntica</dc:creator>
  <dc:description>Topics, Instructions y Actions del Agente Postventa Zapata</dc:description>
  <cp:lastModifiedBy>Un-named</cp:lastModifiedBy>
  <cp:revision>1</cp:revision>
  <dcterms:created xsi:type="dcterms:W3CDTF">2026-08-12T23:05:05.150Z</dcterms:created>
  <dcterms:modified xsi:type="dcterms:W3CDTF">2026-08-12T23:05:05.150Z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