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690A"/>
          <w:sz w:val="16"/>
          <w:szCs w:val="16"/>
        </w:rPr>
        <w:t xml:space="preserve">HACKATÓN IA AGÉNTICA · EQUIPO 35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1A17"/>
          <w:sz w:val="38"/>
          <w:szCs w:val="38"/>
        </w:rPr>
        <w:t xml:space="preserve">Documento Técnico</w:t>
      </w:r>
    </w:p>
    <w:p>
      <w:pPr>
        <w:pBdr>
          <w:bottom w:val="single" w:color="A0690A" w:sz="12" w:space="6"/>
        </w:pBdr>
        <w:spacing w:after="160"/>
      </w:pPr>
      <w:r>
        <w:rPr>
          <w:rFonts w:ascii="Calibri" w:cs="Calibri" w:eastAsia="Calibri" w:hAnsi="Calibri"/>
          <w:color w:val="5A554C"/>
          <w:sz w:val="22"/>
          <w:szCs w:val="22"/>
        </w:rPr>
        <w:t xml:space="preserve">Agente Postventa Zapata · Arquitectura, Topics, Flows y Knowledge</w:t>
      </w:r>
    </w:p>
    <w:p>
      <w:pPr>
        <w:spacing w:after="200" w:line="260"/>
      </w:pPr>
      <w:r>
        <w:rPr>
          <w:rFonts w:ascii="Calibri" w:cs="Calibri" w:eastAsia="Calibri" w:hAnsi="Calibri"/>
          <w:color w:val="5A554C"/>
          <w:sz w:val="17"/>
          <w:szCs w:val="17"/>
        </w:rPr>
        <w:t xml:space="preserve">Hackatón IA Agéntica, tercera edición · Equipo 35 · Org 00DgK00000VXSyCUAX · API 67.0 · 12 de agosto de 2026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1 · El reto y el valor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Corporación Zapata distribuye y da servicio a camiones pesados en nueve talleres del país. La postventa concentra el dolor operativo: el cliente llama para saber si su unidad tiene garantía, para agendar taller o porque quedó varado en carretera. Cada una de esas llamadas ocupa a un asesor que debe cruzar a mano el VIN, el kilometraje, la póliza del modelo y la disponibilidad del taller. Son cuatro sistemas distintos para responder una pregunta.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Agente Postventa Zapata resuelve esas cuatro conversaciones de extremo a extremo, en lenguaje natural, con efecto real en el CRM: crea y mueve órdenes de servicio, levanta reportes de asistencia en carretera, evalúa cobertura contra la póliza del modelo y abre casos en la cola de postventa con la conversación completa adjunta. El asesor deja de transcribir y empieza a resolver lo que sólo una persona puede resolver.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2 · Arquitectura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Un solo agente Agentforce con una capa de clasificación —el router— que enruta a seis Topics. Cuatro resuelven trabajo; dos son guardrails de contención que impiden que el agente responda fuera de su alcance. Las acciones son Flows autolaunched y clases Apex invocables.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decisión de fondo: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ninguna regla de negocio vive únicamente en lenguaje natural.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El umbral de garantía es un custom setting, la anticipación mínima es un campo de la sucursal, qué franja es reservable lo decide una consulta y no una instrucción. Las instrucciones dicen cómo hablar y cuándo llamar a qué; lo que se puede o no se puede hacer lo deciden Apex, los Flows y diecisiete reglas de validación.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Las tres capas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2218"/>
        <w:gridCol w:w="7862"/>
      </w:tblGrid>
      <w:tr>
        <w:trPr>
          <w:tblHeader/>
        </w:trPr>
        <w:tc>
          <w:tcPr>
            <w:tcW w:type="dxa" w:w="2218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Capa</w:t>
            </w:r>
          </w:p>
        </w:tc>
        <w:tc>
          <w:tcPr>
            <w:tcW w:type="dxa" w:w="7862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contiene</w:t>
            </w:r>
          </w:p>
        </w:tc>
      </w:tr>
      <w:tr>
        <w:trPr>
          <w:tblHeader w:val="false"/>
        </w:trPr>
        <w:tc>
          <w:tcPr>
            <w:tcW w:type="dxa" w:w="22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Conversación</w:t>
            </w:r>
          </w:p>
        </w:tc>
        <w:tc>
          <w:tcPr>
            <w:tcW w:type="dxa" w:w="78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Router de clasificación (sfdc_ai__DefaultEinsteinHyperClassifier) y seis Topics con sus instrucciones. Idioma es_MX.</w:t>
            </w:r>
          </w:p>
        </w:tc>
      </w:tr>
      <w:tr>
        <w:trPr>
          <w:tblHeader w:val="false"/>
        </w:trPr>
        <w:tc>
          <w:tcPr>
            <w:tcW w:type="dxa" w:w="22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Ejecución</w:t>
            </w:r>
          </w:p>
        </w:tc>
        <w:tc>
          <w:tcPr>
            <w:tcW w:type="dxa" w:w="78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Seis acciones: tres clases Apex invocables y tres Flows autolaunched, más un subflow de traza. Cada una devuelve un motivo de bloqueo estable cuando no puede actuar.</w:t>
            </w:r>
          </w:p>
        </w:tc>
      </w:tr>
      <w:tr>
        <w:trPr>
          <w:tblHeader w:val="false"/>
        </w:trPr>
        <w:tc>
          <w:tcPr>
            <w:tcW w:type="dxa" w:w="22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Datos y garantías</w:t>
            </w:r>
          </w:p>
        </w:tc>
        <w:tc>
          <w:tcPr>
            <w:tcW w:type="dxa" w:w="78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Objetos personalizados (Sucursal__c, Slot_Taller__c, Modelo_Sucursal__c, Regla_Cobertura__c, Unidad_Varada__c, Log_Agente__c), el custom setting Parametros_Garantia__c y 17 reglas de validación activas.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Variables de contexto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agente recibe cuatro variables enlazadas de la sesión: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RoutableId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(MessagingSession.Id, que viaja como identificador de correlación a toda la traza),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EndUserId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ContactId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EndUserLanguage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El identificador de correlación es lo que amarra la primera pregunta del cliente con el caso que termina atendiendo un asesor.</w:t>
      </w:r>
    </w:p>
    <w:p>
      <w:r>
        <w:br w:type="page"/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3 · Configuración de Topics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agent_router — clasificación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Da la bienvenida en español y decide el Topic según la intención y el historial. Los criterios están escritos como reglas explícitas, no como una descripción vaga: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Cobertura, mantenimiento, costos, códigos de falla, procedimientos o políticas → conocimiento_y_respuestas.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Agendar, reprogramar o cancelar una cita → agendar_servicio_taller.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Unidad detenida, falla en carretera, emergencia o grúa → atencion_unidades_varadas.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Petición explícita de una persona, queja o inconformidad → escalamiento_asesor_humano.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Ajeno a postventa de camiones → off_topic.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«Tengo un problema», «necesito ayuda» o cualquier intención incompleta → ambiguous_question.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Una petición ambigua nunca se escala: primero se pide aclaración.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conocimiento_y_respuestas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Atiende garantías, coberturas, planes de mantenimiento, costos, códigos de falla, protocolos de emergencia, requisitos de taller y tiempos de refacciones. Sus directrices gobiernan la honestidad de la respuesta: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Llama siempre a la acción de conocimiento; nunca responde de memoria.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Responde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únicamente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con el campo Contenido de los artículos. Prohibido inventar o inferir kilometrajes, costos, tiempos o coberturas que no aparezcan textualmente.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Todo resumen abre exactamente con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«El material no verificado consultado indica:»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nunca con «la garantía cubre» o «está cubierto». No convierte contenido sintético en un veredicto aunque repita sus cifras.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Antes del contenido escribe tres líneas obligatorias con los valores literales devueltos: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Material consultado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Estado de la fuente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Advertencia de procedencia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Si un valor viene vacío escribe «dato no devuelto»; nunca inventa un sustituto.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cliente pregunta si la información es oficial, repite el estado literal de la fuente. Tiene prohibido decir que proviene de sistemas verificados de Zapata: eso no le consta.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número de serie no existe en el padrón, el aviso va antes que cualquier otra línea y el material no se presenta como la cobertura de esa unidad.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agendar_servicio_taller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Compuerta de identidad: sin un VIN válido de 17 caracteres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no ejecuta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la creación de la orden; explica por qué y ofrece un asesor.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Consulta disponibilidad siempre antes de agendar, aunque el cliente ya haya dicho el día, y ofrece numeradas sólo las opciones que esa acción devolvió.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Manda el taller tal como lo dijo el cliente, con acentos: la acción resuelve el catálogo. Nunca reintenta la misma sucursal cambiando datos.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Nunca llena el código de modelo: no puede saber qué modelo es una unidad, y adivinarlo haría que la validación de cobertura del taller diga cualquier cosa.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Autonomía explícita: la petición del cliente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ya es su autorización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Ejecuta y reporta, sin pedir un «¿confirmas?» adicional.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Al reprogramar, el folio no cambia: se lo confirma al cliente para que sepa que no tiene dos citas.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Nunca menciona identificadores internos. El cliente sólo recibe folios, días y horas.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atencion_unidades_varadas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Primer mensaje siempre: confirmar que el operador esté fuera del carril y con intermitentes encendidas.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Con la carretera y la descripción de la falla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ya registra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no espera al VIN ni al kilómetro, que se completan después. Pedirlos primero sólo retrasa el auxilio.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Tampoco espera a que el operador confirme que está a salvo: una unidad sobre el carril es más urgente, no menos. Registra con las respuestas en falso y lee el aviso de seguridad antes del folio.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Las respuestas de seguridad van en verdadero sólo si el operador las confirmó. Si no contestó, van en falso: no se suponen.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escalamiento_asesor_humano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Escala sin discutir ante petición explícita, queja o inconformidad, autorización de garantía o monto a facturar, y riesgo de seguridad.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Resume el motivo en una línea antes de registrar, para que el asesor tenga contexto.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No declara una transferencia en vivo: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esta organización enruta mediante Case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Prometer otra cosa sería mentir sobre lo que la org puede sostener.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registro falla, no inventa folio ni afirma que escaló: comunica el error real.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off_topic y ambiguous_question — contención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Su trabajo es no actuar. Off-topic declina lo ajeno a postventa de camiones —incluidas compra de unidades, financiamiento, seguros y recursos humanos— y ofrece un asesor. Ambiguous_question pide la precisión mínima con opciones concretas. Sin estos dos, un agente que escala cualquier mensaje vago o que opina fuera de su alcance hace daño silencioso que ninguna prueba de registros creados detecta.</w:t>
      </w:r>
    </w:p>
    <w:p>
      <w:r>
        <w:br w:type="page"/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4 · Lógica de los Flows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Cuatro Flows productivos concentran las reglas deterministas. Ninguno confía en lo que diga el modelo: cada uno vuelve a comprobar sus condiciones contra la organización.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2621"/>
        <w:gridCol w:w="7459"/>
      </w:tblGrid>
      <w:tr>
        <w:trPr>
          <w:tblHeader/>
        </w:trPr>
        <w:tc>
          <w:tcPr>
            <w:tcW w:type="dxa" w:w="2621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Flow</w:t>
            </w:r>
          </w:p>
        </w:tc>
        <w:tc>
          <w:tcPr>
            <w:tcW w:type="dxa" w:w="7459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Lógica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Crear_Orden_Servicio</w:t>
            </w:r>
          </w:p>
        </w:tc>
        <w:tc>
          <w:tcPr>
            <w:tcW w:type="dxa" w:w="74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Recibe VIN, identificador de franja y código de sucursal. Valida que la franja exista, que su procedencia esté acreditada —rechaza con SLOT_NO_VERIFICADO cualquier franja de capacidad asumida—, que se respete la anticipación mínima de esa sucursal y que quede cupo. Crea la WorkOrder ligada a la unidad y a la franja, ocupa el lugar y devuelve el folio. Deriva su clave de idempotencia de la conversación, así que repetir la petición no agenda dos veces.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Reprogramar_Orden_Servicio</w:t>
            </w:r>
          </w:p>
        </w:tc>
        <w:tc>
          <w:tcPr>
            <w:tcW w:type="dxa" w:w="74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Recibe el folio existente y la nueva franja. Mueve la cita conservando el folio —el invariante es «mueve, no crea»— y libera el lugar anterior. Cuando la ventana de reprogramación ya no lo permite, deriva a un caso para que un asesor lo revise, en lugar de fallar en silencio o inventar un cambio.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Crear_Reporte_Unidad_Varada</w:t>
            </w:r>
          </w:p>
        </w:tc>
        <w:tc>
          <w:tcPr>
            <w:tcW w:type="dxa" w:w="74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Levanta Unidad_Varada__c con lo mínimo indispensable: carretera y descripción de la falla. VIN y kilómetro son opcionales a propósito. Marca prioridad crítica, guarda las respuestas de seguridad tal como se recibieron y devuelve el aviso de seguridad junto con el folio de asistencia.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Registrar_Log_Agente</w:t>
            </w:r>
          </w:p>
        </w:tc>
        <w:tc>
          <w:tcPr>
            <w:tcW w:type="dxa" w:w="74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Subflow invocado por los tres anteriores en las rutas de éxito, bloqueo y error. Escribe Log_Agente__c con el identificador de correlación, el subagente, la acción, el resultado y el registro afectado. Al ser subflow y no una llamada opcional, ninguna acción puede olvidar su traza.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Lo que no decide el modelo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cobertura de garantía se evalúa contra el custom setting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Parametros_Garantia__c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—250 000 km y 24 meses— usando el odómetro registrado, y devuelve CUBIERTO, NO_CUBIERTO o REQUIERE_DATO.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Diecisiete reglas de validación activas protegen la consistencia. Entre ellas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Error_Requiere_Codigo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que obliga a que todo resultado ERROR o BLOCKED traiga código o guardrail, para que un bloqueo siempre sea auditable.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catálogo operativo comprende nueve talleres y 803 franjas; sólo las marcadas OPERACIONAL_VERIFICADO son reservables, y la acción de disponibilidad no ofrece ninguna otra.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5 · Artículos de Knowledge utilizados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acción estándar de Knowledge no era funcional en la organización (Data Library sin aprovisionar), así que se construyó una clase Apex invocable propia,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BuscarConocimientoPostventa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con búsqueda SOSL sobre los artículos publicados y respaldo SOQL por título y resumen. Devuelve el contenido convertido a texto plano y limitado a tres artículos, lo que hace la respuesta determinista y citable: el agente reproduce el artículo en vez de parafrasearlo. Además comprueba si el número de serie dictado existe en el padrón y escribe su traza con el artículo consultado y su versión de política.</w:t>
      </w:r>
    </w:p>
    <w:p>
      <w:pPr>
        <w:spacing w:after="10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Corpus: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20 artículos publicados en español.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4234"/>
        <w:gridCol w:w="5846"/>
      </w:tblGrid>
      <w:tr>
        <w:trPr>
          <w:tblHeader/>
        </w:trPr>
        <w:tc>
          <w:tcPr>
            <w:tcW w:type="dxa" w:w="4234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Artículo</w:t>
            </w:r>
          </w:p>
        </w:tc>
        <w:tc>
          <w:tcPr>
            <w:tcW w:type="dxa" w:w="5846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resuelve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Cobertura de garantia basica por componente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cubre la garantía de fábrica y por cuánto tiempo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Garantia extendida de tren motriz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Componentes incluidos, vigencia, deducible y condiciones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Garantia de refacciones y mano de obra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Plazos por tipo de refacción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Causas de invalidacion de garantia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la cancela: aceites no especificados, sobrepeso, alteración de odómetro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Requisitos documentales para reclamo de garantia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papeles pide Zapata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Servicio preventivo de 10,000 km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Alcance, duración y costo aproximado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Servicio preventivo de 40,000 km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Alcance, duración y costo aproximado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Servicio preventivo de 80,000 km y mayores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Incluye revisión de turbocargador y admisión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Aceites y lubricantes autorizados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Especificaciones admitidas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Requisitos para ingresar una unidad a taller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Condiciones de recepción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Codigos de falla SPN y FMI mas frecuentes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Interpretación y acción sugerida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Luces de tablero: significado y accion inmediata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hacer ante cada testigo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Fallas comunes del sistema de frenos de aire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Diagnóstico y riesgos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Regeneracion del filtro de particulas (DPF)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Procedimiento y señales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Sistema de post-tratamiento y AdBlue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Consumo, calidad y fallas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Protocolo de unidad varada en carretera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hacer antes de que llegue el auxilio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Asistencia en carretera: cobertura y tiempos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Qué cubre y en cuánto responde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Politica de grua y traslado de unidades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Cuándo aplica y hasta dónde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Politica de unidad sustituta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Cuándo procede</w:t>
            </w:r>
          </w:p>
        </w:tc>
      </w:tr>
      <w:tr>
        <w:trPr>
          <w:tblHeader w:val="false"/>
        </w:trPr>
        <w:tc>
          <w:tcPr>
            <w:tcW w:type="dxa" w:w="42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Tiempos de entrega de refacciones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Plazos por tipo de componente</w:t>
            </w:r>
          </w:p>
        </w:tc>
      </w:tr>
    </w:tbl>
    <w:p>
      <w:pPr>
        <w:spacing w:after="120" w:line="260"/>
      </w:pP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Procedencia declarada. 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El material del reto es sintético y no verificado. Cada artículo lleva su versión de política, la acción la devuelve, y el agente la comunica en lenguaje natural sin presentarla como póliza oficial. Si el cliente cuestiona la fuente, repite su estado literal. Es la diferencia entre un agente que cita y uno que finge certeza.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6 · Trazabilidad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Cada acción escribe en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Log_Agente__c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con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Correlation_Id__c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Related_Record_Id__c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Guardrail_Triggered__c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Odometer_Used__c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su origen,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Policy_Version__c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Unit_Verified__c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La organización acumula 361 registros generados durante construcción y pruebas. Un mismo identificador de correlación permite reconstruir una conversación completa: qué subagente actuó, qué acción ejecutó, sobre qué registro y con qué resultado.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7 · Verificación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Lo que sostiene este documento no es una corrida manual, son gates que cualquiera puede volver a ejecutar contra la organización: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139/139 pruebas unitarias del servidor y sus reglas.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80/80 comprobaciones del contrato de la Agent API.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41 casos e2e de rutas, interfaz y seguridad; 21/21 pruebas Apex en la org.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0 violaciones del sistema de diseño en siete estados de pantalla, contraste incluido.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Conversaciones completas releídas de Salesforce por el CLI —nunca por la propia aplicación— y una sonda de generalidad que recorre las 15 unidades de la flota y los nueve talleres con datos que no son los del demo.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8 · Límites declarados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Por rigor y no por omisión: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escalamiento entrega un Case enrutado a la cola de postventa, no una transferencia en vivo por Omni-Channel, y el agente lo comunica en esos términos.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Ocho de los nueve talleres publican horario pero su cupo no está confirmado con el taller. El agente no los ofrece: dice que el horario existe, quién lo confirma y en qué taller sí se puede apartar hoy. Mientras esas franjas no se verifiquen, sólo Querétaro reserva en el acto.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modelo T680 no está dado de alta en la red. El agente lo dice y pasa con un asesor en vez de ofrecer una búsqueda que no puede terminar bien. Cargar esas filas es una decisión operativa del negocio.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acción de conocimiento ya escribe su traza; falta refrescar la acción en Agent Builder para que el planner le pase el identificador de correlación. El esquema de entrada de una acción no se despliega por metadata.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Técnico — Agente Postventa Zapata</dc:title>
  <dc:creator>Equipo 35 — Hackatón IA Agéntica</dc:creator>
  <dc:description>Arquitectura, Topics, Flows y artículos de Knowledge</dc:description>
  <cp:lastModifiedBy>Un-named</cp:lastModifiedBy>
  <cp:revision>1</cp:revision>
  <dcterms:created xsi:type="dcterms:W3CDTF">2026-08-12T23:08:06.072Z</dcterms:created>
  <dcterms:modified xsi:type="dcterms:W3CDTF">2026-08-12T23:08:06.073Z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