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A0690A"/>
          <w:sz w:val="16"/>
          <w:szCs w:val="16"/>
        </w:rPr>
        <w:t xml:space="preserve">HACKATÓN IA AGÉNTICA · EQUIPO 35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1A17"/>
          <w:sz w:val="38"/>
          <w:szCs w:val="38"/>
        </w:rPr>
        <w:t xml:space="preserve">Guion de rodaje</w:t>
      </w:r>
    </w:p>
    <w:p>
      <w:pPr>
        <w:pBdr>
          <w:bottom w:val="single" w:color="A0690A" w:sz="12" w:space="6"/>
        </w:pBdr>
        <w:spacing w:after="160"/>
      </w:pPr>
      <w:r>
        <w:rPr>
          <w:rFonts w:ascii="Calibri" w:cs="Calibri" w:eastAsia="Calibri" w:hAnsi="Calibri"/>
          <w:color w:val="5A554C"/>
          <w:sz w:val="22"/>
          <w:szCs w:val="22"/>
        </w:rPr>
        <w:t xml:space="preserve">Video demo · 3:00 · Agente Postventa Zapata</w:t>
      </w:r>
    </w:p>
    <w:p>
      <w:pPr>
        <w:spacing w:after="200" w:line="260"/>
      </w:pPr>
      <w:r>
        <w:rPr>
          <w:rFonts w:ascii="Calibri" w:cs="Calibri" w:eastAsia="Calibri" w:hAnsi="Calibri"/>
          <w:color w:val="5A554C"/>
          <w:sz w:val="17"/>
          <w:szCs w:val="17"/>
        </w:rPr>
        <w:t xml:space="preserve">Corregido contra la organización el 12 de agosto de 2026. Cada frase que aparece aquí se tecleó en un navegador real y su resultado se releyó de Salesforce por el CLI. Reproducible con: npm run verificar:guion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Antes de grabar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onsolas" w:cs="Consolas" w:eastAsia="Consolas" w:hAnsi="Consolas"/>
          <w:color w:val="1B1A17"/>
          <w:sz w:val="18"/>
          <w:szCs w:val="18"/>
        </w:rPr>
        <w:t xml:space="preserve">sf org display --target-org zapata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 →  Connected. (El alias NO es hackaton2.)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onsolas" w:cs="Consolas" w:eastAsia="Consolas" w:hAnsi="Consolas"/>
          <w:color w:val="1B1A17"/>
          <w:sz w:val="18"/>
          <w:szCs w:val="18"/>
        </w:rPr>
        <w:t xml:space="preserve">npm run verificar:guion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 →  en verde o ámbar. Rojo significa que alguna escena no ocurre.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Dos ventanas lado a lado: izquierda (60 %) localhost:3000, derecha (40 %) Salesforce con WorkOrders, Cases y Log_Agente__c ya cargados.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Zoom del navegador al 110–125 %. Sin DevTools, sin extensiones, sin pestañas de trabajo.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VIN a la mano: </w:t>
      </w:r>
      <w:r>
        <w:rPr>
          <w:rFonts w:ascii="Consolas" w:cs="Consolas" w:eastAsia="Consolas" w:hAnsi="Consolas"/>
          <w:color w:val="1B1A17"/>
          <w:sz w:val="18"/>
          <w:szCs w:val="18"/>
        </w:rPr>
        <w:t xml:space="preserve">1FUJGLDR9PL456781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  — Unidad 110, Freightliner Cascadia, 41 200 km, 9 meses.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Entre escenas: pestaña nueva. Nunca F5 — arrastra contexto de la sesión anterior.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«El sábado» funciona el 15, 22 y 29 de agosto y el 5 de septiembre.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El calendario llega al 8 de septiembre.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Libreto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0:00–0:15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Apertura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Título sobre fondo oscuro: «Equipo 35 — Agente Postventa Zapata» y los tres nombres completos.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Equipo 35. Corporación Zapata da servicio a camiones pesados en nueve talleres del país, y cada consulta de postventa ocupa a un asesor cruzando VIN, póliza y disponibilidad a mano. Construimos un agente que resuelve esas conversaciones de principio a fin, con efecto real en el CRM.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0:15–0:32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La plataforma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La portada de localhost:3000 a la izquierda, Salesforce a la derecha. Paneo breve: identidad Zapata, los nueve talleres cargados desde la organización.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Esto no es un simulador ni una pantalla de pruebas. Es un portal web propio, con la identidad de Zapata, conectado a Salesforce mediante la Agent API. A la izquierda van a ver lo que vive el cliente; a la derecha, lo que queda registrado en el CRM. Todo lo que pase aquí, pasa de verdad.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A0690A"/>
          <w:sz w:val="18"/>
          <w:szCs w:val="18"/>
        </w:rPr>
        <w:t xml:space="preserve">Ojo: </w:t>
      </w:r>
      <w:r>
        <w:rPr>
          <w:rFonts w:ascii="Calibri" w:cs="Calibri" w:eastAsia="Calibri" w:hAnsi="Calibri"/>
          <w:color w:val="5A554C"/>
          <w:sz w:val="18"/>
          <w:szCs w:val="18"/>
        </w:rPr>
        <w:t xml:space="preserve">Es diferenciación pura: la mayoría de las demos corren en el Preview de Agentforce. Esta corre en un canal real de cliente.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0:32–1:05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Escena 1 — Conocimiento con procedencia declarada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Izquierda: el chat. Derecha: déjala como está.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▸ Escribe: 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¿Qué cubre la garantía del turbocargador?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Primera prueba: conocimiento. El agente consulta los veinte artículos cargados en la organización y responde con lo que dice el material — no de memoria, no inventado. Y fíjense en el cierre: declara que es material de apoyo no verificado y sugiere confirmarlo con un asesor. Un agente que finge certeza es más peligroso que uno que reconoce sus fuentes.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A0690A"/>
          <w:sz w:val="18"/>
          <w:szCs w:val="18"/>
        </w:rPr>
        <w:t xml:space="preserve">Ojo: </w:t>
      </w:r>
      <w:r>
        <w:rPr>
          <w:rFonts w:ascii="Calibri" w:cs="Calibri" w:eastAsia="Calibri" w:hAnsi="Calibri"/>
          <w:color w:val="5A554C"/>
          <w:sz w:val="18"/>
          <w:szCs w:val="18"/>
        </w:rPr>
        <w:t xml:space="preserve">De cada ocho tomas, una contesta sobre la garantía básica sin nombrar el turbocargador. Si pasa, corta y repite en pestaña nueva. Medido: 13 de 15 tomas salen limpias.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1:05–2:05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Escena 2 — Agendar, con los guardrails a la vista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Pestaña nueva. Izquierda: el chat. Derecha: la lista de WorkOrders.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▸ Escribe: 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Quiero agendar servicio en Queretaro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▸ Escribe: 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Agendame el sabado a las 8 de la mañana, VIN 1FUJGLDR9PL456781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▸ Escribe: 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La 1, es mantenimiento preventivo de 40 mil kilómetros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Sin identificar la unidad, no hay acción: pide el VIN de diecisiete caracteres y explica para qué lo necesita. Aquí está la diferencia con un chatbot del mercado: el sábado a las ocho no existe como franja verificada. Un asistente complaciente lo habría aceptado; este consulta la disponibilidad real y corrige al cliente con el horario que sí puede reservar. Y en paralelo evaluó la cobertura de la unidad: cuarenta y un mil doscientos kilómetros, nueve meses, sistemas cubiertos. La orden existe en Salesforce, con ese folio, en el taller de Querétaro. Y miren el creador: el usuario del agente. Ejecutó, no describió.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A0690A"/>
          <w:sz w:val="18"/>
          <w:szCs w:val="18"/>
        </w:rPr>
        <w:t xml:space="preserve">Ojo: </w:t>
      </w:r>
      <w:r>
        <w:rPr>
          <w:rFonts w:ascii="Calibri" w:cs="Calibri" w:eastAsia="Calibri" w:hAnsi="Calibri"/>
          <w:color w:val="5A554C"/>
          <w:sz w:val="18"/>
          <w:szCs w:val="18"/>
        </w:rPr>
        <w:t xml:space="preserve">Con «1» a secas la cita NO se cierra: el agente pide en el mismo turno el tipo de servicio y el motivo. La línea de arriba contesta las tres cosas de una vez. Al confirmar el folio, cambia el foco a Salesforce y refresca WorkOrders.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2:05–2:40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Escena 3 — Escalamiento honesto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La MISMA conversación: aquí la continuidad es a propósito. Después, Salesforce → lista de Cases, columna Origen.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5A554C"/>
          <w:sz w:val="18"/>
          <w:szCs w:val="18"/>
        </w:rPr>
        <w:t xml:space="preserve">▸ Escribe: 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Quiero hablar con una persona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Cuando el caso excede su autoridad, escala — y es preciso en lo que promete. Abre un caso real en la cola de postventa, adjunta la conversación completa y dicta el folio. No dice que transfiere en vivo, porque esta organización no tiene Omni-Channel y prometerlo sería mentir. Y del otro lado, el asesor recibe la conversación completa y le responde al cliente en el mismo hilo.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A0690A"/>
          <w:sz w:val="18"/>
          <w:szCs w:val="18"/>
        </w:rPr>
        <w:t xml:space="preserve">Ojo: </w:t>
      </w:r>
      <w:r>
        <w:rPr>
          <w:rFonts w:ascii="Calibri" w:cs="Calibri" w:eastAsia="Calibri" w:hAnsi="Calibri"/>
          <w:color w:val="5A554C"/>
          <w:sz w:val="18"/>
          <w:szCs w:val="18"/>
        </w:rPr>
        <w:t xml:space="preserve">Variante B (el momento más fuerte del video): abre /panel.html en una tercera pestaña, toma el caso recién llegado —sale el primero de la lista— y respóndele algo breve. Vuelve a la app y muestra que el mensaje del asesor llegó en vivo, sin recargar.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2:40–2:52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Traza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Derecha: lista de Log_Agente__c filtrada por el Correlation_Id de esta sesión.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Todo lo que hicieron el cliente y el agente quedó registrado. Un mismo identificador de correlación amarra la conversación completa: qué subagente actuó, qué acción ejecutó, sobre qué registro, y con qué resultado.</w:t>
      </w:r>
    </w:p>
    <w:p>
      <w:pPr>
        <w:spacing w:after="80" w:line="260"/>
      </w:pPr>
      <w:r>
        <w:rPr>
          <w:rFonts w:ascii="Calibri" w:cs="Calibri" w:eastAsia="Calibri" w:hAnsi="Calibri"/>
          <w:b/>
          <w:bCs/>
          <w:color w:val="A0690A"/>
          <w:sz w:val="18"/>
          <w:szCs w:val="18"/>
        </w:rPr>
        <w:t xml:space="preserve">Ojo: </w:t>
      </w:r>
      <w:r>
        <w:rPr>
          <w:rFonts w:ascii="Calibri" w:cs="Calibri" w:eastAsia="Calibri" w:hAnsi="Calibri"/>
          <w:color w:val="5A554C"/>
          <w:sz w:val="18"/>
          <w:szCs w:val="18"/>
        </w:rPr>
        <w:t xml:space="preserve">La narración corregida NO nombra kilometraje ni versión de política: esas dos columnas están vacías en la fila de la cita, y afirmarlo mientras se ven en blanco es el tipo de detalle que un jurado sí nota.</w:t>
      </w:r>
    </w:p>
    <w:p>
      <w:pPr>
        <w:spacing w:after="60" w:before="260"/>
      </w:pPr>
      <w:r>
        <w:rPr>
          <w:rFonts w:ascii="Consolas" w:cs="Consolas" w:eastAsia="Consolas" w:hAnsi="Consolas"/>
          <w:b/>
          <w:bCs/>
          <w:color w:val="A0690A"/>
          <w:sz w:val="20"/>
          <w:szCs w:val="20"/>
        </w:rPr>
        <w:t xml:space="preserve">2:52–3:00   </w:t>
      </w: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Cierre</w:t>
      </w:r>
    </w:p>
    <w:p>
      <w:pPr>
        <w:spacing w:after="100" w:line="260"/>
      </w:pPr>
      <w:r>
        <w:rPr>
          <w:rFonts w:ascii="Calibri" w:cs="Calibri" w:eastAsia="Calibri" w:hAnsi="Calibri"/>
          <w:b/>
          <w:bCs/>
          <w:color w:val="1B1A17"/>
          <w:sz w:val="19"/>
          <w:szCs w:val="19"/>
        </w:rPr>
        <w:t xml:space="preserve">En pantalla. </w:t>
      </w:r>
      <w:r>
        <w:rPr>
          <w:rFonts w:ascii="Calibri" w:cs="Calibri" w:eastAsia="Calibri" w:hAnsi="Calibri"/>
          <w:color w:val="1B1A17"/>
          <w:sz w:val="19"/>
          <w:szCs w:val="19"/>
        </w:rPr>
        <w:t xml:space="preserve">La portada de la app, o el título de la apertura.</w:t>
      </w:r>
    </w:p>
    <w:p>
      <w:pPr>
        <w:spacing w:after="80" w:before="60"/>
        <w:ind w:left="300"/>
      </w:pPr>
      <w:r>
        <w:rPr>
          <w:rFonts w:ascii="Calibri" w:cs="Calibri" w:eastAsia="Calibri" w:hAnsi="Calibri"/>
          <w:b/>
          <w:bCs/>
          <w:color w:val="5A554C"/>
          <w:sz w:val="18"/>
          <w:szCs w:val="18"/>
        </w:rPr>
        <w:t xml:space="preserve">Narración: </w:t>
      </w:r>
      <w:r>
        <w:rPr>
          <w:rFonts w:ascii="Calibri" w:cs="Calibri" w:eastAsia="Calibri" w:hAnsi="Calibri"/>
          <w:i/>
          <w:iCs/>
          <w:color w:val="1B1A17"/>
          <w:sz w:val="20"/>
          <w:szCs w:val="20"/>
        </w:rPr>
        <w:t xml:space="preserve">Los chatbots responden preguntas. Este agente ejecuta, corrige al cliente con datos reales y deja rastro auditable de cada acción. Equipo 35. Gracias.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Presupuesto de tiempo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4032"/>
        <w:gridCol w:w="2016"/>
        <w:gridCol w:w="2016"/>
        <w:gridCol w:w="2016"/>
      </w:tblGrid>
      <w:tr>
        <w:trPr>
          <w:tblHeader/>
        </w:trPr>
        <w:tc>
          <w:tcPr>
            <w:tcW w:type="dxa" w:w="4032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Escena</w:t>
            </w:r>
          </w:p>
        </w:tc>
        <w:tc>
          <w:tcPr>
            <w:tcW w:type="dxa" w:w="2016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Duración</w:t>
            </w:r>
          </w:p>
        </w:tc>
        <w:tc>
          <w:tcPr>
            <w:tcW w:type="dxa" w:w="2016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Acumulado</w:t>
            </w:r>
          </w:p>
        </w:tc>
        <w:tc>
          <w:tcPr>
            <w:tcW w:type="dxa" w:w="2016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Apertura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15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0:15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listo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La plataforma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17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0:32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listo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Conocimiento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33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1:05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con varianza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Agendar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60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2:05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línea corregida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Escalamiento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35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2:40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listo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Traza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12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2:52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narración corregida</w:t>
            </w:r>
          </w:p>
        </w:tc>
      </w:tr>
      <w:tr>
        <w:trPr>
          <w:tblHeader w:val="false"/>
        </w:trPr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Cierre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8 s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3:00</w:t>
            </w:r>
          </w:p>
        </w:tc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listo</w:t>
            </w:r>
          </w:p>
        </w:tc>
      </w:tr>
    </w:tbl>
    <w:p>
      <w:pPr>
        <w:spacing w:after="120" w:line="260"/>
      </w:pP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Margen: cero. </w:t>
      </w:r>
      <w:r>
        <w:rPr>
          <w:rFonts w:ascii="Calibri" w:cs="Calibri" w:eastAsia="Calibri" w:hAnsi="Calibri"/>
          <w:color w:val="1B1A17"/>
          <w:sz w:val="20"/>
          <w:szCs w:val="20"/>
        </w:rPr>
        <w:t xml:space="preserve">Orden de recorte si te pasas: (1) la variante B del panel, entera —la escena cierra en Cases—; (2) la escena de plataforma, de 17 a 10 s con una sola frase: «Portal propio, conectado por Agent API: lo que pasa aquí, pasa en Salesforce»; (3) la traza, mostrándola sin narrar. </w:t>
      </w:r>
      <w:r>
        <w:rPr>
          <w:rFonts w:ascii="Calibri" w:cs="Calibri" w:eastAsia="Calibri" w:hAnsi="Calibri"/>
          <w:b/>
          <w:bCs/>
          <w:color w:val="1B1A17"/>
          <w:sz w:val="20"/>
          <w:szCs w:val="20"/>
        </w:rPr>
        <w:t xml:space="preserve">Nunca recortes: la corrección del sábado a las 8, el folio en Salesforce con el creador visible, ni el cierre.</w:t>
      </w:r>
    </w:p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Lo que cubre de la rúbrica</w:t>
      </w:r>
    </w:p>
    <w:tbl>
      <w:tblPr>
        <w:tblW w:type="dxa" w:w="10080"/>
        <w:tblBorders>
          <w:top w:val="single" w:color="D8D2C7" w:sz="4"/>
          <w:left w:val="single" w:color="D8D2C7" w:sz="4"/>
          <w:bottom w:val="single" w:color="D8D2C7" w:sz="4"/>
          <w:right w:val="single" w:color="D8D2C7" w:sz="4"/>
          <w:insideH w:val="single" w:color="D8D2C7" w:sz="4"/>
          <w:insideV w:val="single" w:color="D8D2C7" w:sz="4"/>
        </w:tblBorders>
      </w:tblPr>
      <w:tblGrid>
        <w:gridCol w:w="3427"/>
        <w:gridCol w:w="6653"/>
      </w:tblGrid>
      <w:tr>
        <w:trPr>
          <w:tblHeader/>
        </w:trPr>
        <w:tc>
          <w:tcPr>
            <w:tcW w:type="dxa" w:w="3427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Criterio</w:t>
            </w:r>
          </w:p>
        </w:tc>
        <w:tc>
          <w:tcPr>
            <w:tcW w:type="dxa" w:w="6653"/>
            <w:shd w:fill="F3F0E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5A554C"/>
                <w:sz w:val="17"/>
                <w:szCs w:val="17"/>
              </w:rPr>
              <w:t xml:space="preserve">Dónde se ve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Integración multimodal (40 %)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Knowledge en E1, Flow en E2, Apex en E3, Event en la traza — y todo desde un canal externo vía Agent API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Resolución autónoma (25 %)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E2 se completa sin intervención ni confirmaciones extra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Precisión de información (15 %)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E1 cita el artículo y declara su procedencia; E2 corrige un horario inventado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Trazabilidad (10 %)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Segmento de traza y el creador de los registros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Identificación de usuario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La compuerta de VIN en E2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Persistencia de datos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WorkOrder y Case releídos desde Salesforce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Escalamiento inteligente</w:t>
            </w:r>
          </w:p>
        </w:tc>
        <w:tc>
          <w:tcPr>
            <w:tcW w:type="dxa" w:w="6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1B1A17"/>
                <w:sz w:val="19"/>
                <w:szCs w:val="19"/>
              </w:rPr>
              <w:t xml:space="preserve">E3, con la conversación adjunta y sin prometer transferencia en vivo</w:t>
            </w:r>
          </w:p>
        </w:tc>
      </w:tr>
    </w:tbl>
    <w:p>
      <w:pPr>
        <w:pBdr>
          <w:bottom w:val="single" w:color="A0690A" w:sz="8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1A17"/>
          <w:sz w:val="24"/>
          <w:szCs w:val="24"/>
        </w:rPr>
        <w:t xml:space="preserve">Checklist antes de subir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Duración ≤ 3:00 · formato .mp4 · peso ≤ 150 MB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Equipo 35 y los tres nombres completos visibles en pantalla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Audio claro, sin ruido de fondo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Sin credenciales, identificadores internos, DevTools ni pestañas de trabajo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B1A17"/>
          <w:sz w:val="20"/>
          <w:szCs w:val="20"/>
        </w:rPr>
        <w:t xml:space="preserve">Verificado en reproducción completa antes de subir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rodaje — Video demo Agente Postventa Zapata</dc:title>
  <dc:creator>Equipo 35 — Hackatón IA Agéntica</dc:creator>
  <dc:description>Libreto corregido contra la organización</dc:description>
  <cp:lastModifiedBy>Un-named</cp:lastModifiedBy>
  <cp:revision>1</cp:revision>
  <dcterms:created xsi:type="dcterms:W3CDTF">2026-08-12T23:10:00.076Z</dcterms:created>
  <dcterms:modified xsi:type="dcterms:W3CDTF">2026-08-12T23:10:00.077Z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