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Normal Form (1NF)→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Book (isbn(PK), title, description, editorial, publi_date, price, offer, discount_rate, stock, nameG(FK), nameA(FK))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editorial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publi_date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discount_rate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When it is a 1NF relation, all attributes have to be atomic.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2708438</wp:posOffset>
                </wp:positionH>
                <wp:positionV relativeFrom="paragraph">
                  <wp:posOffset>130659</wp:posOffset>
                </wp:positionV>
                <wp:extent cx="314325" cy="40005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64325" y="1441000"/>
                          <a:ext cx="294000" cy="3822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2708438</wp:posOffset>
                </wp:positionH>
                <wp:positionV relativeFrom="paragraph">
                  <wp:posOffset>130659</wp:posOffset>
                </wp:positionV>
                <wp:extent cx="314325" cy="40005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1FN Book (isbn(PK), title, description, editorial, publi_date, price, offer, discount_rate, stock, nameG1(FK), nameG2(FK), nameG3(FK), nameA1(FK), nameA2(FK))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tblGridChange w:id="0">
          <w:tblGrid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editorial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publi_date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discount_rate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nameG3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nameA2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Second Normal Form (2NF)→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relationship is in 2NF if it is in 1NF and the attributes that are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not primary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key depend entirely on the primary key. There are no partial functional dependencies regarding candidate keys: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This database is in 2NF.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Third Normal Form (3NF)→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It is said that a relationship is in 3NF if it is in 2NF and any attribute that is not part of a candidate key depends directly on it. There are no transitive functional dependencies between attributes that are not key.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This database is in 3NF.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