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First Normal Form (1NF)→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It is said that a relationship is in 1NF if all its attributes are atomic: (There are no data groups: Each tuple has only one value).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This database is in 1NF.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Second Normal Form (2NF)→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 relationship is in 2NF if it is in 1NF and the attributes that are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not primary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key depend entirely on the primary key. There are no partial functional dependencies regarding candidate keys: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This database is in 2NF.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Third Normal Form (3NF)→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It is said that a relationship is in 3NF if it is in 2NF and any attribute that is not part of a candidate key depends directly on it. There are no transitive functional dependencies between attributes that are not key.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This database is in 3NF.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