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marketmind"/>
    <w:p>
      <w:pPr>
        <w:pStyle w:val="Heading1"/>
      </w:pPr>
      <w:r>
        <w:t xml:space="preserve">MarketMind</w:t>
      </w:r>
    </w:p>
    <w:bookmarkEnd w:id="9"/>
    <w:bookmarkStart w:id="10" w:name="functional-design-document"/>
    <w:p>
      <w:pPr>
        <w:pStyle w:val="Heading1"/>
      </w:pPr>
      <w:r>
        <w:t xml:space="preserve">Functional Design Document</w:t>
      </w:r>
    </w:p>
    <w:bookmarkEnd w:id="10"/>
    <w:bookmarkStart w:id="11" w:name="X854037a98bb80ae653bd8cff0434d1aa89612ba"/>
    <w:p>
      <w:pPr>
        <w:pStyle w:val="Heading1"/>
      </w:pPr>
      <w:r>
        <w:t xml:space="preserve">Capítulo 5 – Cálculo del Market Opportunity Score (MOS)</w:t>
      </w:r>
    </w:p>
    <w:p>
      <w:r>
        <w:pict>
          <v:rect style="width:0;height:1.5pt" o:hralign="center" o:hrstd="t" o:hr="t"/>
        </w:pict>
      </w:r>
    </w:p>
    <w:bookmarkEnd w:id="11"/>
    <w:bookmarkStart w:id="12" w:name="objetivo"/>
    <w:p>
      <w:pPr>
        <w:pStyle w:val="Heading1"/>
      </w:pPr>
      <w:r>
        <w:t xml:space="preserve">5.0 Objetivo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Market Opportunity Score (MOS)</w:t>
      </w:r>
      <w:r>
        <w:t xml:space="preserve"> </w:t>
      </w:r>
      <w:r>
        <w:t xml:space="preserve">es el indicador final generado por MarketMind para medir el potencial comercial de un producto en uno o varios mercados.</w:t>
      </w:r>
    </w:p>
    <w:p>
      <w:pPr>
        <w:pStyle w:val="BodyText"/>
      </w:pPr>
      <w:r>
        <w:t xml:space="preserve">El MOS no utiliza datos brutos provenientes de las APIs.</w:t>
      </w:r>
    </w:p>
    <w:p>
      <w:pPr>
        <w:pStyle w:val="BodyText"/>
      </w:pPr>
      <w:r>
        <w:t xml:space="preserve">Todos los datos utilizados ya fueron transformados previamente en indicadores determinísticos normalizados entre</w:t>
      </w:r>
      <w:r>
        <w:t xml:space="preserve"> </w:t>
      </w:r>
      <w:r>
        <w:rPr>
          <w:b/>
          <w:bCs/>
        </w:rPr>
        <w:t xml:space="preserve">0 y 100</w:t>
      </w:r>
      <w:r>
        <w:t xml:space="preserve">, conforme se describe en el Capítulo 4.</w:t>
      </w:r>
    </w:p>
    <w:p>
      <w:pPr>
        <w:pStyle w:val="BodyText"/>
      </w:pPr>
      <w:r>
        <w:t xml:space="preserve">Este capítulo describe cómo esos indicadores son combinados mediante un método multicriterio para producir el MOS.</w:t>
      </w:r>
    </w:p>
    <w:p>
      <w:r>
        <w:pict>
          <v:rect style="width:0;height:1.5pt" o:hralign="center" o:hrstd="t" o:hr="t"/>
        </w:pict>
      </w:r>
    </w:p>
    <w:bookmarkEnd w:id="12"/>
    <w:bookmarkStart w:id="13" w:name="flujo-general"/>
    <w:p>
      <w:pPr>
        <w:pStyle w:val="Heading1"/>
      </w:pPr>
      <w:r>
        <w:t xml:space="preserve">5.1 Flujo general</w:t>
      </w:r>
    </w:p>
    <w:p>
      <w:pPr>
        <w:pStyle w:val="FirstParagraph"/>
      </w:pPr>
      <w:r>
        <w:t xml:space="preserve">El cálculo del MOS sigue siempre el mismo flujo.</w:t>
      </w:r>
    </w:p>
    <w:p>
      <w:pPr>
        <w:pStyle w:val="SourceCode"/>
      </w:pPr>
      <w:r>
        <w:rPr>
          <w:rStyle w:val="VerbatimChar"/>
        </w:rPr>
        <w:t xml:space="preserve">Consulta del usuario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Validación de países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Obtención de indicadores (Capítulo 4)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Construcción de la matriz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Entropy Weight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TOPSIS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MOS (0-100)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LLM explica el resultado</w:t>
      </w:r>
    </w:p>
    <w:p>
      <w:pPr>
        <w:pStyle w:val="FirstParagraph"/>
      </w:pPr>
      <w:r>
        <w:t xml:space="preserve">El LLM nunca participa en el cálculo del MOS.</w:t>
      </w:r>
    </w:p>
    <w:p>
      <w:r>
        <w:pict>
          <v:rect style="width:0;height:1.5pt" o:hralign="center" o:hrstd="t" o:hr="t"/>
        </w:pict>
      </w:r>
    </w:p>
    <w:bookmarkEnd w:id="13"/>
    <w:bookmarkStart w:id="14" w:name="entrada-del-algoritmo"/>
    <w:p>
      <w:pPr>
        <w:pStyle w:val="Heading1"/>
      </w:pPr>
      <w:r>
        <w:t xml:space="preserve">5.2 Entrada del algoritmo</w:t>
      </w:r>
    </w:p>
    <w:p>
      <w:pPr>
        <w:pStyle w:val="FirstParagraph"/>
      </w:pPr>
      <w:r>
        <w:t xml:space="preserve">El usuario debe informar:</w:t>
      </w:r>
    </w:p>
    <w:p>
      <w:pPr>
        <w:pStyle w:val="Compact"/>
        <w:numPr>
          <w:ilvl w:val="0"/>
          <w:numId w:val="1001"/>
        </w:numPr>
      </w:pPr>
      <w:r>
        <w:t xml:space="preserve">Producto</w:t>
      </w:r>
    </w:p>
    <w:p>
      <w:pPr>
        <w:pStyle w:val="Compact"/>
        <w:numPr>
          <w:ilvl w:val="0"/>
          <w:numId w:val="1001"/>
        </w:numPr>
      </w:pPr>
      <w:r>
        <w:t xml:space="preserve">Lista de países</w:t>
      </w:r>
    </w:p>
    <w:p>
      <w:pPr>
        <w:pStyle w:val="FirstParagraph"/>
      </w:pPr>
      <w:r>
        <w:t xml:space="preserve">Ejemplo</w:t>
      </w:r>
    </w:p>
    <w:p>
      <w:pPr>
        <w:pStyle w:val="SourceCode"/>
      </w:pPr>
      <w:r>
        <w:rPr>
          <w:rStyle w:val="VerbatimChar"/>
        </w:rPr>
        <w:t xml:space="preserve">Producto</w:t>
      </w:r>
      <w:r>
        <w:br/>
      </w:r>
      <w:r>
        <w:br/>
      </w:r>
      <w:r>
        <w:rPr>
          <w:rStyle w:val="VerbatimChar"/>
        </w:rPr>
        <w:t xml:space="preserve">Air Fryer</w:t>
      </w:r>
      <w:r>
        <w:br/>
      </w:r>
      <w:r>
        <w:br/>
      </w:r>
      <w:r>
        <w:rPr>
          <w:rStyle w:val="VerbatimChar"/>
        </w:rPr>
        <w:t xml:space="preserve">Países</w:t>
      </w:r>
      <w:r>
        <w:br/>
      </w:r>
      <w:r>
        <w:br/>
      </w:r>
      <w:r>
        <w:rPr>
          <w:rStyle w:val="VerbatimChar"/>
        </w:rPr>
        <w:t xml:space="preserve">España</w:t>
      </w:r>
      <w:r>
        <w:br/>
      </w:r>
      <w:r>
        <w:rPr>
          <w:rStyle w:val="VerbatimChar"/>
        </w:rPr>
        <w:t xml:space="preserve">Francia</w:t>
      </w:r>
      <w:r>
        <w:br/>
      </w:r>
      <w:r>
        <w:rPr>
          <w:rStyle w:val="VerbatimChar"/>
        </w:rPr>
        <w:t xml:space="preserve">Portugal</w:t>
      </w:r>
      <w:r>
        <w:br/>
      </w:r>
      <w:r>
        <w:rPr>
          <w:rStyle w:val="VerbatimChar"/>
        </w:rPr>
        <w:t xml:space="preserve">Brasil</w:t>
      </w:r>
    </w:p>
    <w:p>
      <w:pPr>
        <w:pStyle w:val="FirstParagraph"/>
      </w:pPr>
      <w:r>
        <w:t xml:space="preserve">Si el usuario no informa ningún país, el cálculo no comienza.</w:t>
      </w:r>
    </w:p>
    <w:p>
      <w:pPr>
        <w:pStyle w:val="BodyText"/>
      </w:pPr>
      <w:r>
        <w:t xml:space="preserve">Respuesta esperada</w:t>
      </w:r>
    </w:p>
    <w:p>
      <w:pPr>
        <w:pStyle w:val="SourceCode"/>
      </w:pPr>
      <w:r>
        <w:rPr>
          <w:rStyle w:val="VerbatimChar"/>
        </w:rPr>
        <w:t xml:space="preserve">Para calcular el Market Opportunity Score es necesario informar los países que desea comparar.</w:t>
      </w:r>
    </w:p>
    <w:p>
      <w:r>
        <w:pict>
          <v:rect style="width:0;height:1.5pt" o:hralign="center" o:hrstd="t" o:hr="t"/>
        </w:pict>
      </w:r>
    </w:p>
    <w:bookmarkEnd w:id="14"/>
    <w:bookmarkStart w:id="15" w:name="validación-de-disponibilidad"/>
    <w:p>
      <w:pPr>
        <w:pStyle w:val="Heading1"/>
      </w:pPr>
      <w:r>
        <w:t xml:space="preserve">5.3 Validación de disponibilidad</w:t>
      </w:r>
    </w:p>
    <w:p>
      <w:pPr>
        <w:pStyle w:val="FirstParagraph"/>
      </w:pPr>
      <w:r>
        <w:t xml:space="preserve">Antes de construir la matriz, el Core verifica si existen datos suficientes para cada país.</w:t>
      </w:r>
    </w:p>
    <w:p>
      <w:pPr>
        <w:pStyle w:val="BodyText"/>
      </w:pPr>
      <w:r>
        <w:t xml:space="preserve">Cada país debe poseer todos los indicadores obligatorios definidos en el Capítulo 4.</w:t>
      </w:r>
    </w:p>
    <w:p>
      <w:pPr>
        <w:pStyle w:val="BodyText"/>
      </w:pPr>
      <w:r>
        <w:t xml:space="preserve">Si un indicador obligatorio no está disponible:</w:t>
      </w:r>
    </w:p>
    <w:p>
      <w:pPr>
        <w:pStyle w:val="SourceCode"/>
      </w:pPr>
      <w:r>
        <w:rPr>
          <w:rStyle w:val="VerbatimChar"/>
        </w:rPr>
        <w:t xml:space="preserve">availability_status = UNAVAILABLE</w:t>
      </w:r>
    </w:p>
    <w:p>
      <w:pPr>
        <w:pStyle w:val="FirstParagraph"/>
      </w:pPr>
      <w:r>
        <w:t xml:space="preserve">El país queda excluido de la comparación.</w:t>
      </w:r>
    </w:p>
    <w:p>
      <w:pPr>
        <w:pStyle w:val="BodyText"/>
      </w:pPr>
      <w:r>
        <w:t xml:space="preserve">No se realiza imputación de datos.</w:t>
      </w:r>
    </w:p>
    <w:p>
      <w:pPr>
        <w:pStyle w:val="BodyText"/>
      </w:pPr>
      <w:r>
        <w:t xml:space="preserve">No se utilizan estimaciones mediante Inteligencia Artificial.</w:t>
      </w:r>
    </w:p>
    <w:p>
      <w:r>
        <w:pict>
          <v:rect style="width:0;height:1.5pt" o:hralign="center" o:hrstd="t" o:hr="t"/>
        </w:pict>
      </w:r>
    </w:p>
    <w:bookmarkEnd w:id="15"/>
    <w:bookmarkStart w:id="16" w:name="construcción-de-la-matriz-de-decisión"/>
    <w:p>
      <w:pPr>
        <w:pStyle w:val="Heading1"/>
      </w:pPr>
      <w:r>
        <w:t xml:space="preserve">5.4 Construcción de la matriz de decisión</w:t>
      </w:r>
    </w:p>
    <w:p>
      <w:pPr>
        <w:pStyle w:val="FirstParagraph"/>
      </w:pPr>
      <w:r>
        <w:t xml:space="preserve">Después de validar todos los países, el Core construye automáticamente la matriz de decisión.</w:t>
      </w:r>
    </w:p>
    <w:p>
      <w:pPr>
        <w:pStyle w:val="BodyText"/>
      </w:pPr>
      <w:r>
        <w:t xml:space="preserve">Ejemplo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76"/>
        <w:gridCol w:w="414"/>
        <w:gridCol w:w="414"/>
        <w:gridCol w:w="552"/>
        <w:gridCol w:w="552"/>
        <w:gridCol w:w="506"/>
        <w:gridCol w:w="414"/>
        <w:gridCol w:w="598"/>
        <w:gridCol w:w="552"/>
        <w:gridCol w:w="644"/>
        <w:gridCol w:w="736"/>
        <w:gridCol w:w="690"/>
        <w:gridCol w:w="874"/>
        <w:gridCol w:w="690"/>
      </w:tblGrid>
      <w:tr>
        <w:trPr>
          <w:tblHeader w:val="on"/>
        </w:trPr>
        <w:tc>
          <w:tcPr>
            <w:shd w:val="clear" w:fill="E7E6E6"/>
          </w:tcPr>
          <w:p>
            <w:pPr>
              <w:pStyle w:val="Compact"/>
            </w:pPr>
            <w:r>
              <w:rPr>
                <w:b/>
              </w:rPr>
              <w:t xml:space="preserve">País</w:t>
            </w:r>
          </w:p>
        </w:tc>
        <w:tc>
          <w:tcPr>
            <w:shd w:val="clear" w:fill="E7E6E6"/>
          </w:tcPr>
          <w:p>
            <w:pPr>
              <w:pStyle w:val="Compact"/>
            </w:pPr>
            <w:r>
              <w:rPr>
                <w:b/>
              </w:rPr>
              <w:t xml:space="preserve">Trend</w:t>
            </w:r>
          </w:p>
        </w:tc>
        <w:tc>
          <w:tcPr>
            <w:shd w:val="clear" w:fill="E7E6E6"/>
          </w:tcPr>
          <w:p>
            <w:pPr>
              <w:pStyle w:val="Compact"/>
            </w:pPr>
            <w:r>
              <w:rPr>
                <w:b/>
              </w:rPr>
              <w:t xml:space="preserve">Growth</w:t>
            </w:r>
          </w:p>
        </w:tc>
        <w:tc>
          <w:tcPr>
            <w:shd w:val="clear" w:fill="E7E6E6"/>
          </w:tcPr>
          <w:p>
            <w:pPr>
              <w:pStyle w:val="Compact"/>
            </w:pPr>
            <w:r>
              <w:rPr>
                <w:b/>
              </w:rPr>
              <w:t xml:space="preserve">Stability</w:t>
            </w:r>
          </w:p>
        </w:tc>
        <w:tc>
          <w:tcPr>
            <w:shd w:val="clear" w:fill="E7E6E6"/>
          </w:tcPr>
          <w:p>
            <w:pPr>
              <w:pStyle w:val="Compact"/>
            </w:pPr>
            <w:r>
              <w:rPr>
                <w:b/>
              </w:rPr>
              <w:t xml:space="preserve">Regional</w:t>
            </w:r>
          </w:p>
        </w:tc>
        <w:tc>
          <w:tcPr>
            <w:shd w:val="clear" w:fill="E7E6E6"/>
          </w:tcPr>
          <w:p>
            <w:pPr>
              <w:pStyle w:val="Compact"/>
            </w:pPr>
            <w:r>
              <w:rPr>
                <w:b/>
              </w:rPr>
              <w:t xml:space="preserve">Search</w:t>
            </w:r>
          </w:p>
        </w:tc>
        <w:tc>
          <w:tcPr>
            <w:shd w:val="clear" w:fill="E7E6E6"/>
          </w:tcPr>
          <w:p>
            <w:pPr>
              <w:pStyle w:val="Compact"/>
            </w:pPr>
            <w:r>
              <w:rPr>
                <w:b/>
              </w:rPr>
              <w:t xml:space="preserve">GDP</w:t>
            </w:r>
          </w:p>
        </w:tc>
        <w:tc>
          <w:tcPr>
            <w:shd w:val="clear" w:fill="E7E6E6"/>
          </w:tcPr>
          <w:p>
            <w:pPr>
              <w:pStyle w:val="Compact"/>
            </w:pPr>
            <w:r>
              <w:rPr>
                <w:b/>
              </w:rPr>
              <w:t xml:space="preserve">Internet</w:t>
            </w:r>
          </w:p>
        </w:tc>
        <w:tc>
          <w:tcPr>
            <w:shd w:val="clear" w:fill="E7E6E6"/>
          </w:tcPr>
          <w:p>
            <w:pPr>
              <w:pStyle w:val="Compact"/>
            </w:pPr>
            <w:r>
              <w:rPr>
                <w:b/>
              </w:rPr>
              <w:t xml:space="preserve">Mobile</w:t>
            </w:r>
          </w:p>
        </w:tc>
        <w:tc>
          <w:tcPr>
            <w:shd w:val="clear" w:fill="E7E6E6"/>
          </w:tcPr>
          <w:p>
            <w:pPr>
              <w:pStyle w:val="Compact"/>
            </w:pPr>
            <w:r>
              <w:rPr>
                <w:b/>
              </w:rPr>
              <w:t xml:space="preserve">Population</w:t>
            </w:r>
          </w:p>
        </w:tc>
        <w:tc>
          <w:tcPr>
            <w:shd w:val="clear" w:fill="E7E6E6"/>
          </w:tcPr>
          <w:p>
            <w:pPr>
              <w:pStyle w:val="Compact"/>
            </w:pPr>
            <w:r>
              <w:rPr>
                <w:b/>
              </w:rPr>
              <w:t xml:space="preserve">Urbanization</w:t>
            </w:r>
          </w:p>
        </w:tc>
        <w:tc>
          <w:tcPr>
            <w:shd w:val="clear" w:fill="E7E6E6"/>
          </w:tcPr>
          <w:p>
            <w:pPr>
              <w:pStyle w:val="Compact"/>
            </w:pPr>
            <w:r>
              <w:rPr>
                <w:b/>
              </w:rPr>
              <w:t xml:space="preserve">Inflation</w:t>
            </w:r>
          </w:p>
        </w:tc>
        <w:tc>
          <w:tcPr>
            <w:shd w:val="clear" w:fill="E7E6E6"/>
          </w:tcPr>
          <w:p>
            <w:pPr>
              <w:pStyle w:val="Compact"/>
            </w:pPr>
            <w:r>
              <w:rPr>
                <w:b/>
              </w:rPr>
              <w:t xml:space="preserve">Population Growth</w:t>
            </w:r>
          </w:p>
        </w:tc>
        <w:tc>
          <w:tcPr>
            <w:shd w:val="clear" w:fill="E7E6E6"/>
          </w:tcPr>
          <w:p>
            <w:pPr>
              <w:pStyle w:val="Compact"/>
            </w:pPr>
            <w:r>
              <w:rPr>
                <w:b/>
              </w:rPr>
              <w:t xml:space="preserve">Migration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España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t xml:space="preserve">79</w:t>
            </w:r>
          </w:p>
        </w:tc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t xml:space="preserve">94</w:t>
            </w:r>
          </w:p>
        </w:tc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89</w:t>
            </w:r>
          </w:p>
        </w:tc>
        <w:tc>
          <w:tcPr/>
          <w:p>
            <w:pPr>
              <w:pStyle w:val="Compac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Francia</w:t>
            </w:r>
          </w:p>
        </w:tc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87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Portugal</w:t>
            </w:r>
          </w:p>
        </w:tc>
        <w:tc>
          <w:tcPr/>
          <w:p>
            <w:pPr>
              <w:pStyle w:val="Compac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93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Brasil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83</w:t>
            </w:r>
          </w:p>
        </w:tc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t xml:space="preserve">97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67</w:t>
            </w:r>
          </w:p>
        </w:tc>
      </w:tr>
    </w:tbl>
    <w:p>
      <w:pPr>
        <w:pStyle w:val="BodyText"/>
      </w:pPr>
      <w:r>
        <w:t xml:space="preserve">Todos los indicadores ya se encuentran normalizados entre</w:t>
      </w:r>
      <w:r>
        <w:t xml:space="preserve"> </w:t>
      </w:r>
      <w:r>
        <w:rPr>
          <w:b/>
          <w:bCs/>
        </w:rPr>
        <w:t xml:space="preserve">0 y 100</w:t>
      </w:r>
      <w:r>
        <w:t xml:space="preserve">.</w:t>
      </w:r>
    </w:p>
    <w:p>
      <w:pPr>
        <w:pStyle w:val="BodyText"/>
      </w:pPr>
      <w:r>
        <w:t xml:space="preserve">Esta normalización garantiza que ningún indicador tenga mayor influencia únicamente por utilizar una escala numérica diferente. De esta forma, todos contribuyen de manera equilibrada al proceso de decisión.</w:t>
      </w:r>
    </w:p>
    <w:p>
      <w:r>
        <w:pict>
          <v:rect style="width:0;height:1.5pt" o:hralign="center" o:hrstd="t" o:hr="t"/>
        </w:pict>
      </w:r>
    </w:p>
    <w:bookmarkEnd w:id="16"/>
    <w:bookmarkStart w:id="17" w:name="entropy-weight"/>
    <w:p>
      <w:pPr>
        <w:pStyle w:val="Heading1"/>
      </w:pPr>
      <w:r>
        <w:t xml:space="preserve">5.5 Entropy Weight</w:t>
      </w:r>
    </w:p>
    <w:p>
      <w:pPr>
        <w:pStyle w:val="FirstParagraph"/>
      </w:pPr>
      <w:r>
        <w:t xml:space="preserve">Existen diversos métodos multicriterio para apoyar la toma de decisiones, como AHP, ELECTRE, PROMETHEE, VIKOR y TOPSIS.</w:t>
      </w:r>
    </w:p>
    <w:p>
      <w:pPr>
        <w:pStyle w:val="BodyText"/>
      </w:pPr>
      <w:r>
        <w:t xml:space="preserve">En este proyecto se eligió la combinación</w:t>
      </w:r>
      <w:r>
        <w:t xml:space="preserve"> </w:t>
      </w:r>
      <w:r>
        <w:rPr>
          <w:b/>
          <w:bCs/>
        </w:rPr>
        <w:t xml:space="preserve">Entropy Weight + TOPSIS</w:t>
      </w:r>
      <w:r>
        <w:t xml:space="preserve"> </w:t>
      </w:r>
      <w:r>
        <w:t xml:space="preserve">porque permite calcular automáticamente la importancia de cada indicador sin intervención humana y evaluar objetivamente cuál mercado presenta el mayor potencial comercial.</w:t>
      </w:r>
    </w:p>
    <w:p>
      <w:pPr>
        <w:pStyle w:val="BodyText"/>
      </w:pPr>
      <w:r>
        <w:t xml:space="preserve">Antes de decidir cuál país posee el mayor potencial de mercado, es necesario responder una pregunta importante.</w:t>
      </w:r>
    </w:p>
    <w:p>
      <w:pPr>
        <w:pStyle w:val="BlockText"/>
      </w:pPr>
      <w:r>
        <w:rPr>
          <w:b/>
          <w:bCs/>
        </w:rPr>
        <w:t xml:space="preserve">¿Todos los indicadores poseen la misma importancia?</w:t>
      </w:r>
    </w:p>
    <w:p>
      <w:pPr>
        <w:pStyle w:val="FirstParagraph"/>
      </w:pPr>
      <w:r>
        <w:t xml:space="preserve">La respuesta es</w:t>
      </w:r>
      <w:r>
        <w:t xml:space="preserve"> </w:t>
      </w:r>
      <w:r>
        <w:rPr>
          <w:b/>
          <w:bCs/>
        </w:rPr>
        <w:t xml:space="preserve">no</w:t>
      </w:r>
      <w:r>
        <w:t xml:space="preserve">.</w:t>
      </w:r>
    </w:p>
    <w:p>
      <w:pPr>
        <w:pStyle w:val="BodyText"/>
      </w:pPr>
      <w:r>
        <w:t xml:space="preserve">Dependiendo del producto y de los países comparados, algunos indicadores consiguen diferenciar claramente los mercados, mientras que otros presentan valores muy similares.</w:t>
      </w:r>
    </w:p>
    <w:p>
      <w:pPr>
        <w:pStyle w:val="BodyText"/>
      </w:pPr>
      <w:r>
        <w:t xml:space="preserve">Por ejemplo: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E7E6E6"/>
          </w:tcPr>
          <w:p>
            <w:pPr>
              <w:pStyle w:val="Compact"/>
            </w:pPr>
            <w:r>
              <w:rPr>
                <w:b/>
              </w:rPr>
              <w:t xml:space="preserve">País</w:t>
            </w:r>
          </w:p>
        </w:tc>
        <w:tc>
          <w:tcPr>
            <w:shd w:val="clear" w:fill="E7E6E6"/>
          </w:tcPr>
          <w:p>
            <w:pPr>
              <w:pStyle w:val="Compact"/>
            </w:pPr>
            <w:r>
              <w:rPr>
                <w:b/>
              </w:rPr>
              <w:t xml:space="preserve">Internet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España</w:t>
            </w:r>
          </w:p>
        </w:tc>
        <w:tc>
          <w:tcPr/>
          <w:p>
            <w:pPr>
              <w:pStyle w:val="Compact"/>
            </w:pPr>
            <w:r>
              <w:t xml:space="preserve">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Francia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Portugal</w:t>
            </w:r>
          </w:p>
        </w:tc>
        <w:tc>
          <w:tcPr/>
          <w:p>
            <w:pPr>
              <w:pStyle w:val="Compact"/>
            </w:pPr>
            <w:r>
              <w:t xml:space="preserve">94</w:t>
            </w:r>
          </w:p>
        </w:tc>
      </w:tr>
    </w:tbl>
    <w:p>
      <w:pPr>
        <w:pStyle w:val="BodyText"/>
      </w:pPr>
      <w:r>
        <w:t xml:space="preserve">En este caso, el indicador</w:t>
      </w:r>
      <w:r>
        <w:t xml:space="preserve"> </w:t>
      </w:r>
      <w:r>
        <w:rPr>
          <w:b/>
          <w:bCs/>
        </w:rPr>
        <w:t xml:space="preserve">Internet</w:t>
      </w:r>
      <w:r>
        <w:t xml:space="preserve"> </w:t>
      </w:r>
      <w:r>
        <w:t xml:space="preserve">aporta poca información para diferenciar los mercados.</w:t>
      </w:r>
    </w:p>
    <w:p>
      <w:pPr>
        <w:pStyle w:val="BodyText"/>
      </w:pPr>
      <w:r>
        <w:t xml:space="preserve">Ahora observe otro indicador.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E7E6E6"/>
          </w:tcPr>
          <w:p>
            <w:pPr>
              <w:pStyle w:val="Compact"/>
            </w:pPr>
            <w:r>
              <w:rPr>
                <w:b/>
              </w:rPr>
              <w:t xml:space="preserve">País</w:t>
            </w:r>
          </w:p>
        </w:tc>
        <w:tc>
          <w:tcPr>
            <w:shd w:val="clear" w:fill="E7E6E6"/>
          </w:tcPr>
          <w:p>
            <w:pPr>
              <w:pStyle w:val="Compact"/>
            </w:pPr>
            <w:r>
              <w:rPr>
                <w:b/>
              </w:rPr>
              <w:t xml:space="preserve">Growth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España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Francia</w:t>
            </w:r>
          </w:p>
        </w:tc>
        <w:tc>
          <w:tcPr/>
          <w:p>
            <w:pPr>
              <w:pStyle w:val="Compact"/>
            </w:pPr>
            <w:r>
              <w:t xml:space="preserve">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Portugal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</w:tbl>
    <w:p>
      <w:pPr>
        <w:pStyle w:val="BodyText"/>
      </w:pPr>
      <w:r>
        <w:t xml:space="preserve">Aquí el indicador</w:t>
      </w:r>
      <w:r>
        <w:t xml:space="preserve"> </w:t>
      </w:r>
      <w:r>
        <w:rPr>
          <w:b/>
          <w:bCs/>
        </w:rPr>
        <w:t xml:space="preserve">Growth</w:t>
      </w:r>
      <w:r>
        <w:t xml:space="preserve"> </w:t>
      </w:r>
      <w:r>
        <w:t xml:space="preserve">diferencia claramente los países.</w:t>
      </w:r>
    </w:p>
    <w:p>
      <w:pPr>
        <w:pStyle w:val="BodyText"/>
      </w:pPr>
      <w:r>
        <w:t xml:space="preserve">El algoritmo</w:t>
      </w:r>
      <w:r>
        <w:t xml:space="preserve"> </w:t>
      </w:r>
      <w:r>
        <w:rPr>
          <w:b/>
          <w:bCs/>
        </w:rPr>
        <w:t xml:space="preserve">Entropy Weight</w:t>
      </w:r>
      <w:r>
        <w:t xml:space="preserve"> </w:t>
      </w:r>
      <w:r>
        <w:t xml:space="preserve">identifica automáticamente este comportamiento.</w:t>
      </w:r>
    </w:p>
    <w:p>
      <w:pPr>
        <w:pStyle w:val="BodyText"/>
      </w:pPr>
      <w:r>
        <w:t xml:space="preserve">Su función consiste en calcular la importancia real de cada indicador dentro de la comparación actual.</w:t>
      </w:r>
    </w:p>
    <w:p>
      <w:pPr>
        <w:pStyle w:val="Compact"/>
        <w:numPr>
          <w:ilvl w:val="0"/>
          <w:numId w:val="1002"/>
        </w:numPr>
      </w:pPr>
      <w:r>
        <w:t xml:space="preserve">Indicadores que diferencian mucho los mercados reciben mayor peso.</w:t>
      </w:r>
    </w:p>
    <w:p>
      <w:pPr>
        <w:pStyle w:val="Compact"/>
        <w:numPr>
          <w:ilvl w:val="0"/>
          <w:numId w:val="1002"/>
        </w:numPr>
      </w:pPr>
      <w:r>
        <w:t xml:space="preserve">Indicadores cuyos valores son muy parecidos reciben menor peso.</w:t>
      </w:r>
    </w:p>
    <w:p>
      <w:pPr>
        <w:pStyle w:val="FirstParagraph"/>
      </w:pPr>
      <w:r>
        <w:t xml:space="preserve">De esta forma:</w:t>
      </w:r>
    </w:p>
    <w:p>
      <w:pPr>
        <w:pStyle w:val="Compact"/>
        <w:numPr>
          <w:ilvl w:val="0"/>
          <w:numId w:val="1003"/>
        </w:numPr>
      </w:pPr>
      <w:r>
        <w:t xml:space="preserve">no existen pesos definidos manualmente;</w:t>
      </w:r>
    </w:p>
    <w:p>
      <w:pPr>
        <w:pStyle w:val="Compact"/>
        <w:numPr>
          <w:ilvl w:val="0"/>
          <w:numId w:val="1003"/>
        </w:numPr>
      </w:pPr>
      <w:r>
        <w:t xml:space="preserve">no existe influencia humana;</w:t>
      </w:r>
    </w:p>
    <w:p>
      <w:pPr>
        <w:pStyle w:val="Compact"/>
        <w:numPr>
          <w:ilvl w:val="0"/>
          <w:numId w:val="1003"/>
        </w:numPr>
      </w:pPr>
      <w:r>
        <w:t xml:space="preserve">los pesos se calculan automáticamente para cada consulta.</w:t>
      </w:r>
    </w:p>
    <w:p>
      <w:pPr>
        <w:pStyle w:val="FirstParagraph"/>
      </w:pPr>
      <w:r>
        <w:t xml:space="preserve">Al finalizar esta etapa, cada indicador recibe un peso entre</w:t>
      </w:r>
      <w:r>
        <w:t xml:space="preserve"> </w:t>
      </w:r>
      <w:r>
        <w:rPr>
          <w:b/>
          <w:bCs/>
        </w:rPr>
        <w:t xml:space="preserve">0 y 1</w:t>
      </w:r>
      <w:r>
        <w:t xml:space="preserve">, cuya suma total es igual a</w:t>
      </w:r>
      <w:r>
        <w:t xml:space="preserve"> </w:t>
      </w:r>
      <w:r>
        <w:rPr>
          <w:b/>
          <w:bCs/>
        </w:rPr>
        <w:t xml:space="preserve">1</w:t>
      </w:r>
      <w:r>
        <w:t xml:space="preserve">.</w:t>
      </w:r>
    </w:p>
    <w:p>
      <w:pPr>
        <w:pStyle w:val="BodyText"/>
      </w:pPr>
      <w:r>
        <w:t xml:space="preserve">Ejemplo: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E7E6E6"/>
          </w:tcPr>
          <w:p>
            <w:pPr>
              <w:pStyle w:val="Compact"/>
            </w:pPr>
            <w:r>
              <w:rPr>
                <w:b/>
              </w:rPr>
              <w:t xml:space="preserve">Indicador</w:t>
            </w:r>
          </w:p>
        </w:tc>
        <w:tc>
          <w:tcPr>
            <w:shd w:val="clear" w:fill="E7E6E6"/>
          </w:tcPr>
          <w:p>
            <w:pPr>
              <w:pStyle w:val="Compact"/>
            </w:pPr>
            <w:r>
              <w:rPr>
                <w:b/>
              </w:rPr>
              <w:t xml:space="preserve">Peso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Trend</w:t>
            </w:r>
          </w:p>
        </w:tc>
        <w:tc>
          <w:tcPr/>
          <w:p>
            <w:pPr>
              <w:pStyle w:val="Compact"/>
            </w:pPr>
            <w:r>
              <w:t xml:space="preserve">0.12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</w:t>
            </w:r>
          </w:p>
        </w:tc>
        <w:tc>
          <w:tcPr/>
          <w:p>
            <w:pPr>
              <w:pStyle w:val="Compact"/>
            </w:pPr>
            <w:r>
              <w:t xml:space="preserve">0.16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Stability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</w:t>
            </w:r>
          </w:p>
        </w:tc>
        <w:tc>
          <w:tcPr/>
          <w:p>
            <w:pPr>
              <w:pStyle w:val="Compact"/>
            </w:pPr>
            <w:r>
              <w:t xml:space="preserve">0.11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Internet</w:t>
            </w:r>
          </w:p>
        </w:tc>
        <w:tc>
          <w:tcPr/>
          <w:p>
            <w:pPr>
              <w:pStyle w:val="Compact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Population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</w:tr>
    </w:tbl>
    <w:p>
      <w:pPr>
        <w:pStyle w:val="BodyText"/>
      </w:pPr>
      <w:r>
        <w:t xml:space="preserve">Los valores anteriores son únicamente ilustrativos.</w:t>
      </w:r>
    </w:p>
    <w:p>
      <w:pPr>
        <w:pStyle w:val="BodyText"/>
      </w:pPr>
      <w:r>
        <w:t xml:space="preserve">Cada ejecución calcula nuevamente estos pesos.</w:t>
      </w:r>
    </w:p>
    <w:p>
      <w:r>
        <w:pict>
          <v:rect style="width:0;height:1.5pt" o:hralign="center" o:hrstd="t" o:hr="t"/>
        </w:pict>
      </w:r>
    </w:p>
    <w:bookmarkEnd w:id="17"/>
    <w:bookmarkStart w:id="18" w:name="topsis"/>
    <w:p>
      <w:pPr>
        <w:pStyle w:val="Heading1"/>
      </w:pPr>
      <w:r>
        <w:t xml:space="preserve">5.6 TOPSIS</w:t>
      </w:r>
    </w:p>
    <w:p>
      <w:pPr>
        <w:pStyle w:val="FirstParagraph"/>
      </w:pPr>
      <w:r>
        <w:t xml:space="preserve">Después de conocer la importancia de cada indicador, todavía queda una pregunta por responder.</w:t>
      </w:r>
    </w:p>
    <w:p>
      <w:pPr>
        <w:pStyle w:val="BlockText"/>
      </w:pPr>
      <w:r>
        <w:rPr>
          <w:b/>
          <w:bCs/>
        </w:rPr>
        <w:t xml:space="preserve">¿Cuál país representa la mejor oportunidad de mercado?</w:t>
      </w:r>
    </w:p>
    <w:p>
      <w:pPr>
        <w:pStyle w:val="FirstParagraph"/>
      </w:pPr>
      <w:r>
        <w:t xml:space="preserve">Para responder esta pregunta MarketMind utiliza el algoritmo</w:t>
      </w:r>
      <w:r>
        <w:t xml:space="preserve"> </w:t>
      </w:r>
      <w:r>
        <w:rPr>
          <w:b/>
          <w:bCs/>
        </w:rPr>
        <w:t xml:space="preserve">TOPSIS</w:t>
      </w:r>
      <w:r>
        <w:t xml:space="preserve">.</w:t>
      </w:r>
    </w:p>
    <w:p>
      <w:pPr>
        <w:pStyle w:val="BodyText"/>
      </w:pPr>
      <w:r>
        <w:t xml:space="preserve">El funcionamiento de TOPSIS puede entenderse de forma sencilla.</w:t>
      </w:r>
    </w:p>
    <w:p>
      <w:pPr>
        <w:pStyle w:val="BodyText"/>
      </w:pPr>
      <w:r>
        <w:t xml:space="preserve">Primero imagina un</w:t>
      </w:r>
      <w:r>
        <w:t xml:space="preserve"> </w:t>
      </w:r>
      <w:r>
        <w:rPr>
          <w:b/>
          <w:bCs/>
        </w:rPr>
        <w:t xml:space="preserve">mercado ideal</w:t>
      </w:r>
      <w:r>
        <w:t xml:space="preserve">.</w:t>
      </w:r>
    </w:p>
    <w:p>
      <w:pPr>
        <w:pStyle w:val="BodyText"/>
      </w:pPr>
      <w:r>
        <w:t xml:space="preserve">Ese mercado tendría simultáneamente:</w:t>
      </w:r>
    </w:p>
    <w:p>
      <w:pPr>
        <w:pStyle w:val="Compact"/>
        <w:numPr>
          <w:ilvl w:val="0"/>
          <w:numId w:val="1004"/>
        </w:numPr>
      </w:pPr>
      <w:r>
        <w:t xml:space="preserve">la mayor demanda;</w:t>
      </w:r>
    </w:p>
    <w:p>
      <w:pPr>
        <w:pStyle w:val="Compact"/>
        <w:numPr>
          <w:ilvl w:val="0"/>
          <w:numId w:val="1004"/>
        </w:numPr>
      </w:pPr>
      <w:r>
        <w:t xml:space="preserve">el mayor crecimiento;</w:t>
      </w:r>
    </w:p>
    <w:p>
      <w:pPr>
        <w:pStyle w:val="Compact"/>
        <w:numPr>
          <w:ilvl w:val="0"/>
          <w:numId w:val="1004"/>
        </w:numPr>
      </w:pPr>
      <w:r>
        <w:t xml:space="preserve">el mayor poder adquisitivo;</w:t>
      </w:r>
    </w:p>
    <w:p>
      <w:pPr>
        <w:pStyle w:val="Compact"/>
        <w:numPr>
          <w:ilvl w:val="0"/>
          <w:numId w:val="1004"/>
        </w:numPr>
      </w:pPr>
      <w:r>
        <w:t xml:space="preserve">la menor inflación;</w:t>
      </w:r>
    </w:p>
    <w:p>
      <w:pPr>
        <w:pStyle w:val="Compact"/>
        <w:numPr>
          <w:ilvl w:val="0"/>
          <w:numId w:val="1004"/>
        </w:numPr>
      </w:pPr>
      <w:r>
        <w:t xml:space="preserve">la mejor estabilidad;</w:t>
      </w:r>
    </w:p>
    <w:p>
      <w:pPr>
        <w:pStyle w:val="Compact"/>
        <w:numPr>
          <w:ilvl w:val="0"/>
          <w:numId w:val="1004"/>
        </w:numPr>
      </w:pPr>
      <w:r>
        <w:t xml:space="preserve">los mejores valores posibles para todos los indicadores.</w:t>
      </w:r>
    </w:p>
    <w:p>
      <w:pPr>
        <w:pStyle w:val="FirstParagraph"/>
      </w:pPr>
      <w:r>
        <w:t xml:space="preserve">Después imagina exactamente lo contrario.</w:t>
      </w:r>
    </w:p>
    <w:p>
      <w:pPr>
        <w:pStyle w:val="BodyText"/>
      </w:pPr>
      <w:r>
        <w:t xml:space="preserve">Un</w:t>
      </w:r>
      <w:r>
        <w:t xml:space="preserve"> </w:t>
      </w:r>
      <w:r>
        <w:rPr>
          <w:b/>
          <w:bCs/>
        </w:rPr>
        <w:t xml:space="preserve">mercado muy desfavorable</w:t>
      </w:r>
      <w:r>
        <w:t xml:space="preserve">, con los peores valores posibles.</w:t>
      </w:r>
    </w:p>
    <w:p>
      <w:pPr>
        <w:pStyle w:val="BodyText"/>
      </w:pPr>
      <w:r>
        <w:t xml:space="preserve">Ahora cada país es comparado con esos dos extremos.</w:t>
      </w:r>
    </w:p>
    <w:p>
      <w:pPr>
        <w:pStyle w:val="BodyText"/>
      </w:pPr>
      <w:r>
        <w:t xml:space="preserve">TOPSIS calcula:</w:t>
      </w:r>
    </w:p>
    <w:p>
      <w:pPr>
        <w:pStyle w:val="Compact"/>
        <w:numPr>
          <w:ilvl w:val="0"/>
          <w:numId w:val="1005"/>
        </w:numPr>
      </w:pPr>
      <w:r>
        <w:t xml:space="preserve">qué tan cerca está cada país del mercado ideal;</w:t>
      </w:r>
    </w:p>
    <w:p>
      <w:pPr>
        <w:pStyle w:val="Compact"/>
        <w:numPr>
          <w:ilvl w:val="0"/>
          <w:numId w:val="1005"/>
        </w:numPr>
      </w:pPr>
      <w:r>
        <w:t xml:space="preserve">qué tan lejos está del peor mercado posible.</w:t>
      </w:r>
    </w:p>
    <w:p>
      <w:pPr>
        <w:pStyle w:val="FirstParagraph"/>
      </w:pPr>
      <w:r>
        <w:t xml:space="preserve">El mejor mercado será aquel que esté más próximo a la solución ideal y más alejado de la solución negativa.</w:t>
      </w:r>
    </w:p>
    <w:p>
      <w:pPr>
        <w:pStyle w:val="BodyText"/>
      </w:pPr>
      <w:r>
        <w:t xml:space="preserve">Al finalizar este proceso, cada país recibe un coeficiente entre</w:t>
      </w:r>
      <w:r>
        <w:t xml:space="preserve"> </w:t>
      </w:r>
      <w:r>
        <w:rPr>
          <w:b/>
          <w:bCs/>
        </w:rPr>
        <w:t xml:space="preserve">0 y 1</w:t>
      </w:r>
      <w:r>
        <w:t xml:space="preserve">.</w:t>
      </w:r>
    </w:p>
    <w:p>
      <w:pPr>
        <w:pStyle w:val="BodyText"/>
      </w:pPr>
      <w:r>
        <w:t xml:space="preserve">Ese coeficiente representa la calidad global del mercado considerando simultáneamente todos los indicadores y sus respectivos pesos.</w:t>
      </w:r>
    </w:p>
    <w:p>
      <w:pPr>
        <w:pStyle w:val="BodyText"/>
      </w:pPr>
      <w:r>
        <w:t xml:space="preserve">Todo este proceso es completamente determinístico.</w:t>
      </w:r>
    </w:p>
    <w:p>
      <w:pPr>
        <w:pStyle w:val="BodyText"/>
      </w:pPr>
      <w:r>
        <w:t xml:space="preserve">No existe participación de Inteligencia Artificial durante los cálculos.</w:t>
      </w:r>
    </w:p>
    <w:p>
      <w:r>
        <w:pict>
          <v:rect style="width:0;height:1.5pt" o:hralign="center" o:hrstd="t" o:hr="t"/>
        </w:pict>
      </w:r>
    </w:p>
    <w:bookmarkEnd w:id="18"/>
    <w:bookmarkStart w:id="19" w:name="cálculo-del-mos"/>
    <w:p>
      <w:pPr>
        <w:pStyle w:val="Heading1"/>
      </w:pPr>
      <w:r>
        <w:t xml:space="preserve">5.7 Cálculo del MOS</w:t>
      </w:r>
    </w:p>
    <w:p>
      <w:pPr>
        <w:pStyle w:val="FirstParagraph"/>
      </w:pPr>
      <w:r>
        <w:t xml:space="preserve">El coeficiente obtenido mediante TOPSIS es convertido a una escala más intuitiva para el usuario.</w:t>
      </w:r>
    </w:p>
    <w:p>
      <w:pPr>
        <w:pStyle w:val="SourceCode"/>
      </w:pPr>
      <w:r>
        <w:rPr>
          <w:rStyle w:val="VerbatimChar"/>
        </w:rPr>
        <w:t xml:space="preserve">MOS = TOPSIS × 100</w:t>
      </w:r>
    </w:p>
    <w:p>
      <w:pPr>
        <w:pStyle w:val="FirstParagraph"/>
      </w:pPr>
      <w:r>
        <w:t xml:space="preserve">De esta forma, el resultado final siempre se expresa entre</w:t>
      </w:r>
      <w:r>
        <w:t xml:space="preserve"> </w:t>
      </w:r>
      <w:r>
        <w:rPr>
          <w:b/>
          <w:bCs/>
        </w:rPr>
        <w:t xml:space="preserve">0 y 100</w:t>
      </w:r>
      <w:r>
        <w:t xml:space="preserve">.</w:t>
      </w:r>
    </w:p>
    <w:p>
      <w:pPr>
        <w:pStyle w:val="BodyText"/>
      </w:pPr>
      <w:r>
        <w:t xml:space="preserve">Ejemplo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E7E6E6"/>
          </w:tcPr>
          <w:p>
            <w:pPr>
              <w:pStyle w:val="Compact"/>
            </w:pPr>
            <w:r>
              <w:rPr>
                <w:b/>
              </w:rPr>
              <w:t xml:space="preserve">País</w:t>
            </w:r>
          </w:p>
        </w:tc>
        <w:tc>
          <w:tcPr>
            <w:shd w:val="clear" w:fill="E7E6E6"/>
          </w:tcPr>
          <w:p>
            <w:pPr>
              <w:pStyle w:val="Compact"/>
            </w:pPr>
            <w:r>
              <w:rPr>
                <w:b/>
              </w:rPr>
              <w:t xml:space="preserve">TOPSIS</w:t>
            </w:r>
          </w:p>
        </w:tc>
        <w:tc>
          <w:tcPr>
            <w:shd w:val="clear" w:fill="E7E6E6"/>
          </w:tcPr>
          <w:p>
            <w:pPr>
              <w:pStyle w:val="Compact"/>
            </w:pPr>
            <w:r>
              <w:rPr>
                <w:b/>
              </w:rPr>
              <w:t xml:space="preserve">MOS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España</w:t>
            </w:r>
          </w:p>
        </w:tc>
        <w:tc>
          <w:tcPr/>
          <w:p>
            <w:pPr>
              <w:pStyle w:val="Compact"/>
            </w:pPr>
            <w:r>
              <w:t xml:space="preserve">0.916</w:t>
            </w:r>
          </w:p>
        </w:tc>
        <w:tc>
          <w:tcPr/>
          <w:p>
            <w:pPr>
              <w:pStyle w:val="Compact"/>
            </w:pPr>
            <w:r>
              <w:t xml:space="preserve">91.6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Francia</w:t>
            </w:r>
          </w:p>
        </w:tc>
        <w:tc>
          <w:tcPr/>
          <w:p>
            <w:pPr>
              <w:pStyle w:val="Compact"/>
            </w:pPr>
            <w:r>
              <w:t xml:space="preserve">0.873</w:t>
            </w:r>
          </w:p>
        </w:tc>
        <w:tc>
          <w:tcPr/>
          <w:p>
            <w:pPr>
              <w:pStyle w:val="Compact"/>
            </w:pPr>
            <w:r>
              <w:t xml:space="preserve">87.3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Portugal</w:t>
            </w:r>
          </w:p>
        </w:tc>
        <w:tc>
          <w:tcPr/>
          <w:p>
            <w:pPr>
              <w:pStyle w:val="Compact"/>
            </w:pPr>
            <w:r>
              <w:t xml:space="preserve">0.798</w:t>
            </w:r>
          </w:p>
        </w:tc>
        <w:tc>
          <w:tcPr/>
          <w:p>
            <w:pPr>
              <w:pStyle w:val="Compact"/>
            </w:pPr>
            <w:r>
              <w:t xml:space="preserve">79.8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Brasil</w:t>
            </w:r>
          </w:p>
        </w:tc>
        <w:tc>
          <w:tcPr/>
          <w:p>
            <w:pPr>
              <w:pStyle w:val="Compact"/>
            </w:pPr>
            <w:r>
              <w:t xml:space="preserve">0.685</w:t>
            </w:r>
          </w:p>
        </w:tc>
        <w:tc>
          <w:tcPr/>
          <w:p>
            <w:pPr>
              <w:pStyle w:val="Compact"/>
            </w:pPr>
            <w:r>
              <w:t xml:space="preserve">68.5</w:t>
            </w:r>
          </w:p>
        </w:tc>
      </w:tr>
    </w:tbl>
    <w:p>
      <w:pPr>
        <w:pStyle w:val="BodyText"/>
      </w:pPr>
      <w:r>
        <w:t xml:space="preserve">Es importante destacar que</w:t>
      </w:r>
      <w:r>
        <w:t xml:space="preserve"> </w:t>
      </w:r>
      <w:r>
        <w:rPr>
          <w:b/>
          <w:bCs/>
        </w:rPr>
        <w:t xml:space="preserve">el MOS no es una media de los indicadores</w:t>
      </w:r>
      <w:r>
        <w:t xml:space="preserve">.</w:t>
      </w:r>
    </w:p>
    <w:p>
      <w:pPr>
        <w:pStyle w:val="BodyText"/>
      </w:pPr>
      <w:r>
        <w:t xml:space="preserve">El MOS representa la posición relativa de cada país después de considerar simultáneamente:</w:t>
      </w:r>
    </w:p>
    <w:p>
      <w:pPr>
        <w:pStyle w:val="Compact"/>
        <w:numPr>
          <w:ilvl w:val="0"/>
          <w:numId w:val="1006"/>
        </w:numPr>
      </w:pPr>
      <w:r>
        <w:t xml:space="preserve">todos los indicadores del Capítulo 4;</w:t>
      </w:r>
    </w:p>
    <w:p>
      <w:pPr>
        <w:pStyle w:val="Compact"/>
        <w:numPr>
          <w:ilvl w:val="0"/>
          <w:numId w:val="1006"/>
        </w:numPr>
      </w:pPr>
      <w:r>
        <w:t xml:space="preserve">los pesos calculados automáticamente por Entropy Weight;</w:t>
      </w:r>
    </w:p>
    <w:p>
      <w:pPr>
        <w:pStyle w:val="Compact"/>
        <w:numPr>
          <w:ilvl w:val="0"/>
          <w:numId w:val="1006"/>
        </w:numPr>
      </w:pPr>
      <w:r>
        <w:t xml:space="preserve">la proximidad de cada país respecto al mercado ideal calculada mediante TOPSIS.</w:t>
      </w:r>
    </w:p>
    <w:p>
      <w:r>
        <w:pict>
          <v:rect style="width:0;height:1.5pt" o:hralign="center" o:hrstd="t" o:hr="t"/>
        </w:pict>
      </w:r>
    </w:p>
    <w:bookmarkEnd w:id="19"/>
    <w:bookmarkStart w:id="20" w:name="interpretación"/>
    <w:p>
      <w:pPr>
        <w:pStyle w:val="Heading1"/>
      </w:pPr>
      <w:r>
        <w:t xml:space="preserve">5.8 Interpretación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E7E6E6"/>
          </w:tcPr>
          <w:p>
            <w:pPr>
              <w:pStyle w:val="Compact"/>
            </w:pPr>
            <w:r>
              <w:rPr>
                <w:b/>
              </w:rPr>
              <w:t xml:space="preserve">MOS</w:t>
            </w:r>
          </w:p>
        </w:tc>
        <w:tc>
          <w:tcPr>
            <w:shd w:val="clear" w:fill="E7E6E6"/>
          </w:tcPr>
          <w:p>
            <w:pPr>
              <w:pStyle w:val="Compact"/>
            </w:pPr>
            <w:r>
              <w:rPr>
                <w:b/>
              </w:rPr>
              <w:t xml:space="preserve">Interpretación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 – 100</w:t>
            </w:r>
          </w:p>
        </w:tc>
        <w:tc>
          <w:tcPr/>
          <w:p>
            <w:pPr>
              <w:pStyle w:val="Compact"/>
            </w:pPr>
            <w:r>
              <w:t xml:space="preserve">Excelente oportunidad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 – 89</w:t>
            </w:r>
          </w:p>
        </w:tc>
        <w:tc>
          <w:tcPr/>
          <w:p>
            <w:pPr>
              <w:pStyle w:val="Compact"/>
            </w:pPr>
            <w:r>
              <w:t xml:space="preserve">Alta oportunidad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 – 74</w:t>
            </w:r>
          </w:p>
        </w:tc>
        <w:tc>
          <w:tcPr/>
          <w:p>
            <w:pPr>
              <w:pStyle w:val="Compact"/>
            </w:pPr>
            <w:r>
              <w:t xml:space="preserve">Buena oportunidad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 – 59</w:t>
            </w:r>
          </w:p>
        </w:tc>
        <w:tc>
          <w:tcPr/>
          <w:p>
            <w:pPr>
              <w:pStyle w:val="Compact"/>
            </w:pPr>
            <w:r>
              <w:t xml:space="preserve">Oportunidad moderada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 – 39</w:t>
            </w:r>
          </w:p>
        </w:tc>
        <w:tc>
          <w:tcPr/>
          <w:p>
            <w:pPr>
              <w:pStyle w:val="Compact"/>
            </w:pPr>
            <w:r>
              <w:t xml:space="preserve">Baja oportunidad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– 19</w:t>
            </w:r>
          </w:p>
        </w:tc>
        <w:tc>
          <w:tcPr/>
          <w:p>
            <w:pPr>
              <w:pStyle w:val="Compact"/>
            </w:pPr>
            <w:r>
              <w:t xml:space="preserve">Muy baja oportunidad</w:t>
            </w:r>
          </w:p>
        </w:tc>
      </w:tr>
    </w:tbl>
    <w:p>
      <w:pPr>
        <w:pStyle w:val="BodyText"/>
      </w:pPr>
      <w:r>
        <w:t xml:space="preserve">El MOS siempre debe interpretarse dentro del conjunto de países comparados.</w:t>
      </w:r>
    </w:p>
    <w:p>
      <w:pPr>
        <w:pStyle w:val="BodyText"/>
      </w:pPr>
      <w:r>
        <w:t xml:space="preserve">No existe un MOS absoluto.</w:t>
      </w:r>
    </w:p>
    <w:p>
      <w:r>
        <w:pict>
          <v:rect style="width:0;height:1.5pt" o:hralign="center" o:hrstd="t" o:hr="t"/>
        </w:pict>
      </w:r>
    </w:p>
    <w:bookmarkEnd w:id="20"/>
    <w:bookmarkStart w:id="21" w:name="explicabilidad"/>
    <w:p>
      <w:pPr>
        <w:pStyle w:val="Heading1"/>
      </w:pPr>
      <w:r>
        <w:t xml:space="preserve">5.9 Explicabilidad</w:t>
      </w:r>
    </w:p>
    <w:p>
      <w:pPr>
        <w:pStyle w:val="FirstParagraph"/>
      </w:pPr>
      <w:r>
        <w:t xml:space="preserve">Una vez calculado el MOS, el resultado es enviado al módulo de Inteligencia Artificial.</w:t>
      </w:r>
    </w:p>
    <w:p>
      <w:pPr>
        <w:pStyle w:val="BodyText"/>
      </w:pPr>
      <w:r>
        <w:t xml:space="preserve">La IA recibe:</w:t>
      </w:r>
    </w:p>
    <w:p>
      <w:pPr>
        <w:pStyle w:val="Compact"/>
        <w:numPr>
          <w:ilvl w:val="0"/>
          <w:numId w:val="1007"/>
        </w:numPr>
      </w:pPr>
      <w:r>
        <w:t xml:space="preserve">indicadores normalizados;</w:t>
      </w:r>
    </w:p>
    <w:p>
      <w:pPr>
        <w:pStyle w:val="Compact"/>
        <w:numPr>
          <w:ilvl w:val="0"/>
          <w:numId w:val="1007"/>
        </w:numPr>
      </w:pPr>
      <w:r>
        <w:t xml:space="preserve">pesos calculados;</w:t>
      </w:r>
    </w:p>
    <w:p>
      <w:pPr>
        <w:pStyle w:val="Compact"/>
        <w:numPr>
          <w:ilvl w:val="0"/>
          <w:numId w:val="1007"/>
        </w:numPr>
      </w:pPr>
      <w:r>
        <w:t xml:space="preserve">resultado de TOPSIS;</w:t>
      </w:r>
    </w:p>
    <w:p>
      <w:pPr>
        <w:pStyle w:val="Compact"/>
        <w:numPr>
          <w:ilvl w:val="0"/>
          <w:numId w:val="1007"/>
        </w:numPr>
      </w:pPr>
      <w:r>
        <w:t xml:space="preserve">MOS final.</w:t>
      </w:r>
    </w:p>
    <w:p>
      <w:pPr>
        <w:pStyle w:val="FirstParagraph"/>
      </w:pPr>
      <w:r>
        <w:t xml:space="preserve">Su única función consiste en generar explicaciones en lenguaje natural.</w:t>
      </w:r>
    </w:p>
    <w:p>
      <w:pPr>
        <w:pStyle w:val="BodyText"/>
      </w:pPr>
      <w:r>
        <w:t xml:space="preserve">La IA nunca modifica:</w:t>
      </w:r>
    </w:p>
    <w:p>
      <w:pPr>
        <w:pStyle w:val="Compact"/>
        <w:numPr>
          <w:ilvl w:val="0"/>
          <w:numId w:val="1008"/>
        </w:numPr>
      </w:pPr>
      <w:r>
        <w:t xml:space="preserve">indicadores;</w:t>
      </w:r>
    </w:p>
    <w:p>
      <w:pPr>
        <w:pStyle w:val="Compact"/>
        <w:numPr>
          <w:ilvl w:val="0"/>
          <w:numId w:val="1008"/>
        </w:numPr>
      </w:pPr>
      <w:r>
        <w:t xml:space="preserve">pesos;</w:t>
      </w:r>
    </w:p>
    <w:p>
      <w:pPr>
        <w:pStyle w:val="Compact"/>
        <w:numPr>
          <w:ilvl w:val="0"/>
          <w:numId w:val="1008"/>
        </w:numPr>
      </w:pPr>
      <w:r>
        <w:t xml:space="preserve">cálculos;</w:t>
      </w:r>
    </w:p>
    <w:p>
      <w:pPr>
        <w:pStyle w:val="Compact"/>
        <w:numPr>
          <w:ilvl w:val="0"/>
          <w:numId w:val="1008"/>
        </w:numPr>
      </w:pPr>
      <w:r>
        <w:t xml:space="preserve">MOS.</w:t>
      </w:r>
    </w:p>
    <w:p>
      <w:pPr>
        <w:pStyle w:val="FirstParagraph"/>
      </w:pPr>
      <w:r>
        <w:t xml:space="preserve">Esta decisión garantiza que el resultado sea completamente reproducible. Dos ejecuciones utilizando los mismos datos producirán exactamente el mismo MOS.</w:t>
      </w:r>
    </w:p>
    <w:p>
      <w:r>
        <w:pict>
          <v:rect style="width:0;height:1.5pt" o:hralign="center" o:hrstd="t" o:hr="t"/>
        </w:pict>
      </w:r>
    </w:p>
    <w:bookmarkEnd w:id="21"/>
    <w:bookmarkStart w:id="22" w:name="salida-del-core"/>
    <w:p>
      <w:pPr>
        <w:pStyle w:val="Heading1"/>
      </w:pPr>
      <w:r>
        <w:t xml:space="preserve">5.10 Salida del Core</w:t>
      </w:r>
    </w:p>
    <w:p>
      <w:pPr>
        <w:pStyle w:val="FirstParagraph"/>
      </w:pPr>
      <w:r>
        <w:t xml:space="preserve">Cada ejecución devuelve:</w:t>
      </w:r>
    </w:p>
    <w:p>
      <w:pPr>
        <w:pStyle w:val="Compact"/>
        <w:numPr>
          <w:ilvl w:val="0"/>
          <w:numId w:val="1009"/>
        </w:numPr>
      </w:pPr>
      <w:r>
        <w:t xml:space="preserve">indicadores normalizados;</w:t>
      </w:r>
    </w:p>
    <w:p>
      <w:pPr>
        <w:pStyle w:val="Compact"/>
        <w:numPr>
          <w:ilvl w:val="0"/>
          <w:numId w:val="1009"/>
        </w:numPr>
      </w:pPr>
      <w:r>
        <w:t xml:space="preserve">pesos calculados;</w:t>
      </w:r>
    </w:p>
    <w:p>
      <w:pPr>
        <w:pStyle w:val="Compact"/>
        <w:numPr>
          <w:ilvl w:val="0"/>
          <w:numId w:val="1009"/>
        </w:numPr>
      </w:pPr>
      <w:r>
        <w:t xml:space="preserve">resultado TOPSIS;</w:t>
      </w:r>
    </w:p>
    <w:p>
      <w:pPr>
        <w:pStyle w:val="Compact"/>
        <w:numPr>
          <w:ilvl w:val="0"/>
          <w:numId w:val="1009"/>
        </w:numPr>
      </w:pPr>
      <w:r>
        <w:t xml:space="preserve">MOS;</w:t>
      </w:r>
    </w:p>
    <w:p>
      <w:pPr>
        <w:pStyle w:val="Compact"/>
        <w:numPr>
          <w:ilvl w:val="0"/>
          <w:numId w:val="1009"/>
        </w:numPr>
      </w:pPr>
      <w:r>
        <w:t xml:space="preserve">estado de disponibilidad de los datos.</w:t>
      </w:r>
    </w:p>
    <w:p>
      <w:pPr>
        <w:pStyle w:val="FirstParagraph"/>
      </w:pPr>
      <w:r>
        <w:t xml:space="preserve">La implementación podrá utilizar cualquier estructura interna equivalente.</w:t>
      </w:r>
    </w:p>
    <w:p>
      <w:r>
        <w:pict>
          <v:rect style="width:0;height:1.5pt" o:hralign="center" o:hrstd="t" o:hr="t"/>
        </w:pict>
      </w:r>
    </w:p>
    <w:bookmarkEnd w:id="22"/>
    <w:bookmarkStart w:id="23" w:name="conclusión"/>
    <w:p>
      <w:pPr>
        <w:pStyle w:val="Heading1"/>
      </w:pPr>
      <w:r>
        <w:t xml:space="preserve">5.11 Conclusión</w:t>
      </w:r>
    </w:p>
    <w:p>
      <w:pPr>
        <w:pStyle w:val="FirstParagraph"/>
      </w:pPr>
      <w:r>
        <w:t xml:space="preserve">El Market Opportunity Score representa el resultado final del proceso analítico de MarketMind.</w:t>
      </w:r>
    </w:p>
    <w:p>
      <w:pPr>
        <w:pStyle w:val="BodyText"/>
      </w:pPr>
      <w:r>
        <w:t xml:space="preserve">Todos los indicadores utilizados son calculados previamente mediante reglas determinísticas.</w:t>
      </w:r>
    </w:p>
    <w:p>
      <w:pPr>
        <w:pStyle w:val="BodyText"/>
      </w:pPr>
      <w:r>
        <w:t xml:space="preserve">Entropy Weight determina automáticamente la importancia de cada indicador.</w:t>
      </w:r>
    </w:p>
    <w:p>
      <w:pPr>
        <w:pStyle w:val="BodyText"/>
      </w:pPr>
      <w:r>
        <w:t xml:space="preserve">TOPSIS identifica cuál mercado está más próximo al escenario ideal.</w:t>
      </w:r>
    </w:p>
    <w:p>
      <w:pPr>
        <w:pStyle w:val="BodyText"/>
      </w:pPr>
      <w:r>
        <w:t xml:space="preserve">Finalmente, el MOS resume el potencial comercial de cada país en una única puntuación entre</w:t>
      </w:r>
      <w:r>
        <w:t xml:space="preserve"> </w:t>
      </w:r>
      <w:r>
        <w:rPr>
          <w:b/>
          <w:bCs/>
        </w:rPr>
        <w:t xml:space="preserve">0 y 100</w:t>
      </w:r>
      <w:r>
        <w:t xml:space="preserve">.</w:t>
      </w:r>
    </w:p>
    <w:p>
      <w:pPr>
        <w:pStyle w:val="BodyText"/>
      </w:pPr>
      <w:r>
        <w:t xml:space="preserve">El proceso es completamente determinístico, transparente y reproducible. La Inteligencia Artificial participa únicamente en la interpretación de los resultados, nunca en su cálculo. Esta separación garantiza la confiabilidad matemática del modelo y la explicabilidad de las recomendaciones presentadas al usuario.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2026-06-30T10:32:08Z</dcterms:created>
  <dcterms:modified xsi:type="dcterms:W3CDTF">2026-06-30T10:32:08Z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