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txg7tt1jr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Here’s what you need to do, specific to your setup: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</w:t>
      </w:r>
      <w:r w:rsidDel="00000000" w:rsidR="00000000" w:rsidRPr="00000000">
        <w:rPr>
          <w:b w:val="1"/>
          <w:bCs w:val="1"/>
          <w:rtl w:val="0"/>
        </w:rPr>
        <w:t xml:space="preserve">user lookup</w:t>
      </w:r>
      <w:r w:rsidDel="00000000" w:rsidR="00000000" w:rsidRPr="00000000">
        <w:rPr>
          <w:rtl w:val="0"/>
        </w:rPr>
        <w:t xml:space="preserve"> is handled by another microservice,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  <w:t xml:space="preserve"> should be calling that service through: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HTTP call</w:t>
      </w:r>
      <w:r w:rsidDel="00000000" w:rsidR="00000000" w:rsidRPr="00000000">
        <w:rPr>
          <w:rtl w:val="0"/>
        </w:rPr>
        <w:t xml:space="preserve"> (e.g.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@nestjs/axios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b w:val="1"/>
          <w:bCs w:val="1"/>
          <w:rtl w:val="0"/>
        </w:rPr>
        <w:t xml:space="preserve">message broker</w:t>
      </w:r>
      <w:r w:rsidDel="00000000" w:rsidR="00000000" w:rsidRPr="00000000">
        <w:rPr>
          <w:rtl w:val="0"/>
        </w:rPr>
        <w:t xml:space="preserve"> (e.g. NATS, Redis, gRPC)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bm1ouacvi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A) How to Call User Service via HTTP (Most Common)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via HTTP, then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  <w:t xml:space="preserve"> should include something like this: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findUserByEmail(email: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.get(`http://user-service:3001/users/email/${email}`)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 would call that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usersService.findByEmail()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this.findUserByEmail(loginDto.email);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🔁 Adjust the URL above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http://user-service:3001/...</w:t>
      </w:r>
      <w:r w:rsidDel="00000000" w:rsidR="00000000" w:rsidRPr="00000000">
        <w:rPr>
          <w:rtl w:val="0"/>
        </w:rPr>
        <w:t xml:space="preserve">) to match your internal service URL on Render or Docker.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p59ris8c5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B) If You’re Using NestJS Microservices (Transport Layer)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might be doing this via a message broker like Redis or NATS. If that’s the case, you should see something like this in your auth module: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ClientsModule.register([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'USER_SERVICE',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Transport.REDIS,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'redis://localhost:6379',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And then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@Inject('USER_SERVICE')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userClient: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ClientProxy,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findUserByEmail(email: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this.userClient.send({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'find_user_by_email'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email).toPromise();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In this case, your </w:t>
      </w:r>
      <w:r w:rsidDel="00000000" w:rsidR="00000000" w:rsidRPr="00000000">
        <w:rPr>
          <w:b w:val="1"/>
          <w:bCs w:val="1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must expose a matching handler: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@MessagePattern({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'find_user_by_email'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findUserByEmail(email: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this.usersService.findByEmail(email);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