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Create a new dedicated table for ACH bank transfer payments.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your architecture, here’s the best-practice recommendation: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68jowv2xwk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Final Recommendation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new dedicated table for ACH bank transfer payments.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NOT reuse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stripe_metadata</w:t>
      </w:r>
      <w:r w:rsidDel="00000000" w:rsidR="00000000" w:rsidRPr="00000000">
        <w:rPr>
          <w:rtl w:val="0"/>
        </w:rPr>
        <w:t xml:space="preserve"> for these records.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qkm3tk0ti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Reasoning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budi1lstz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NOT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stripe_metadata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for ACH transfers?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That table is likely designed for storing </w:t>
      </w:r>
      <w:r w:rsidDel="00000000" w:rsidR="00000000" w:rsidRPr="00000000">
        <w:rPr>
          <w:b w:val="1"/>
          <w:bCs w:val="1"/>
          <w:rtl w:val="0"/>
        </w:rPr>
        <w:t xml:space="preserve">Stripe session metadata</w:t>
      </w:r>
      <w:r w:rsidDel="00000000" w:rsidR="00000000" w:rsidRPr="00000000">
        <w:rPr>
          <w:rtl w:val="0"/>
        </w:rPr>
        <w:t xml:space="preserve"> (e.g., invoice ID, subscription ID, customer ID) — which is </w:t>
      </w:r>
      <w:r w:rsidDel="00000000" w:rsidR="00000000" w:rsidRPr="00000000">
        <w:rPr>
          <w:b w:val="1"/>
          <w:bCs w:val="1"/>
          <w:rtl w:val="0"/>
        </w:rPr>
        <w:t xml:space="preserve">already normalized and structured around Stripe’s internal objects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 transfers in Stripe have </w:t>
      </w:r>
      <w:r w:rsidDel="00000000" w:rsidR="00000000" w:rsidRPr="00000000">
        <w:rPr>
          <w:b w:val="1"/>
          <w:bCs w:val="1"/>
          <w:rtl w:val="0"/>
        </w:rPr>
        <w:t xml:space="preserve">delayed settlement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risk of reversals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require mandate tracking</w:t>
      </w:r>
      <w:r w:rsidDel="00000000" w:rsidR="00000000" w:rsidRPr="00000000">
        <w:rPr>
          <w:rtl w:val="0"/>
        </w:rPr>
        <w:t xml:space="preserve">, unlike credit card or instant payments.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Conflating the two could lead to </w:t>
      </w:r>
      <w:r w:rsidDel="00000000" w:rsidR="00000000" w:rsidRPr="00000000">
        <w:rPr>
          <w:b w:val="1"/>
          <w:bCs w:val="1"/>
          <w:rtl w:val="0"/>
        </w:rPr>
        <w:t xml:space="preserve">messy query logic</w:t>
      </w:r>
      <w:r w:rsidDel="00000000" w:rsidR="00000000" w:rsidRPr="00000000">
        <w:rPr>
          <w:rtl w:val="0"/>
        </w:rPr>
        <w:t xml:space="preserve">, unnecessary null fields, and difficulty in reporting/alerting.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96s5dfpc77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What the new table should track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something like this: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ach_payment_records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9.110764430577"/>
        <w:gridCol w:w="3188.14352574103"/>
        <w:gridCol w:w="3202.7457098283935"/>
        <w:tblGridChange w:id="0">
          <w:tblGrid>
            <w:gridCol w:w="2969.110764430577"/>
            <w:gridCol w:w="3188.14352574103"/>
            <w:gridCol w:w="3202.74570982839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UUID /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stripe_payment_intent_id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ID of the payment intent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bank_account_id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linked_bank_accounts.id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Which bank account was used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Stripe customer ID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succeeded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returned</w:t>
            </w:r>
            <w:r w:rsidDel="00000000" w:rsidR="00000000" w:rsidRPr="00000000">
              <w:rPr>
                <w:rtl w:val="0"/>
              </w:rPr>
              <w:t xml:space="preserve">, etc.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In cents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"usd"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When the payment intent was created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Updated by webhooks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mandate_id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Optional: Stripe mandate ID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Store any relevant custom data here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zcvkitzbi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Architecture Notes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makes </w:t>
      </w:r>
      <w:r w:rsidDel="00000000" w:rsidR="00000000" w:rsidRPr="00000000">
        <w:rPr>
          <w:b w:val="1"/>
          <w:bCs w:val="1"/>
          <w:rtl w:val="0"/>
        </w:rPr>
        <w:t xml:space="preserve">auditing, retry logic, and reconciliation</w:t>
      </w:r>
      <w:r w:rsidDel="00000000" w:rsidR="00000000" w:rsidRPr="00000000">
        <w:rPr>
          <w:rtl w:val="0"/>
        </w:rPr>
        <w:t xml:space="preserve"> for ACH payments far more robust.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Stripe adds ACH-specific fields or statuses in the future, you won’t need to refactor.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webhook handler can simply route incoming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payment_intent.*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charge.*</w:t>
      </w:r>
      <w:r w:rsidDel="00000000" w:rsidR="00000000" w:rsidRPr="00000000">
        <w:rPr>
          <w:rtl w:val="0"/>
        </w:rPr>
        <w:t xml:space="preserve"> events to this table if the payment method type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ach_debit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cl1lynsg92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6.895475819033"/>
        <w:gridCol w:w="1815.5382215288612"/>
        <w:gridCol w:w="4677.566302652106"/>
        <w:tblGridChange w:id="0">
          <w:tblGrid>
            <w:gridCol w:w="2866.895475819033"/>
            <w:gridCol w:w="1815.5382215288612"/>
            <w:gridCol w:w="4677.56630265210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Reuse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stripe_metadata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Poor separation of concerns, harder to track ACH-specific state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Create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ach_payment_records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Cleaner, extensible, secure, reliable for long-term use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