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Associating a Mercury Wire transfer with a Marketeq Project ID</w:t>
      </w:r>
      <w:r w:rsidDel="00000000" w:rsidR="00000000" w:rsidRPr="00000000">
        <w:rPr>
          <w:rtl w:val="0"/>
        </w:rPr>
        <w:br w:type="textWrapping"/>
        <w:br w:type="textWrapping"/>
        <w:t xml:space="preserve">To</w:t>
      </w:r>
      <w:r w:rsidDel="00000000" w:rsidR="00000000" w:rsidRPr="00000000">
        <w:rPr>
          <w:rtl w:val="0"/>
        </w:rPr>
        <w:t xml:space="preserve"> associate a Mercury wire transaction with the correct project or contract, you need to require the client to include a unique reference/memo during the wire submission — then match that reference against your internal records using Mercury’s transaction data.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xp0k34xov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Best Practice: Use Unique Memo Format Per Project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selects </w:t>
      </w:r>
      <w:r w:rsidDel="00000000" w:rsidR="00000000" w:rsidRPr="00000000">
        <w:rPr>
          <w:b w:val="1"/>
          <w:bCs w:val="1"/>
          <w:rtl w:val="0"/>
        </w:rPr>
        <w:t xml:space="preserve">"Pay by Wire Transfer"</w:t>
      </w:r>
      <w:r w:rsidDel="00000000" w:rsidR="00000000" w:rsidRPr="00000000">
        <w:rPr>
          <w:rtl w:val="0"/>
        </w:rPr>
        <w:t xml:space="preserve">, generate and display a </w:t>
      </w:r>
      <w:r w:rsidDel="00000000" w:rsidR="00000000" w:rsidRPr="00000000">
        <w:rPr>
          <w:b w:val="1"/>
          <w:bCs w:val="1"/>
          <w:rtl w:val="0"/>
        </w:rPr>
        <w:t xml:space="preserve">unique reference code</w:t>
      </w:r>
      <w:r w:rsidDel="00000000" w:rsidR="00000000" w:rsidRPr="00000000">
        <w:rPr>
          <w:rtl w:val="0"/>
        </w:rPr>
        <w:t xml:space="preserve"> in this format: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MARKETEQ-PROJ-&lt;short_project_id_or_contract_id&gt;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MARKETEQ-PROJ-c1349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is shown in the bank instructions like: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include this reference in your wire transfer memo: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MARKETEQ-PROJ-c1349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ybvv6zvn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How the System Matches the Transaction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calling the Mercury API: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/v1/accounts/:account_id/transactions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You’ll receive transactions with fields like: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(includes memo/reference field)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counterparty_name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(should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"inbound_wire"</w:t>
      </w:r>
      <w:r w:rsidDel="00000000" w:rsidR="00000000" w:rsidRPr="00000000">
        <w:rPr>
          <w:rtl w:val="0"/>
        </w:rPr>
        <w:t xml:space="preserve"> or similar)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backend should </w:t>
      </w:r>
      <w:r w:rsidDel="00000000" w:rsidR="00000000" w:rsidRPr="00000000">
        <w:rPr>
          <w:b w:val="1"/>
          <w:bCs w:val="1"/>
          <w:rtl w:val="0"/>
        </w:rPr>
        <w:t xml:space="preserve">search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the expected reference.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h7796s6ne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Match Criteria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transaction is valid if all of these match:</w:t>
      </w:r>
    </w:p>
    <w:tbl>
      <w:tblPr>
        <w:tblStyle w:val="Table1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640"/>
        <w:tblGridChange w:id="0">
          <w:tblGrid>
            <w:gridCol w:w="1520"/>
            <w:gridCol w:w="4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Against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Contains the expected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MARKETEQ-PROJ-c1349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Matches expected invoice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Within X days of invoice issued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matches are found (very rare), pick the most recent or log for manual review.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7zaoqvtex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Example Matching Logic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mercuryApi.getTransactions(accountId);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txns.find(txn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txn.description?.includes(referenceCode)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txn.amount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'inbound_wire'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markInvoiceAsPaid(projectId,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logAudit(match);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raiseFlagForManualReview();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