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8qvdnblv9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02.b – Matching Score Logic &amp; Manual Review Criteria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the platform calculates confidence scores for incoming wire transfers, prioritizing human review over automation. This system supports internal AR (Accounts Receivable) teams by providing a clear basis for manual verification and decision-making. No wire transfers are auto-verified.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fmqf4sjkw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Microservice Structure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/wire-transfer-verification-service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match-score.service.ts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score-weights.ts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MatchResult.dto.ts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match-score.service.spec.ts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5d4t81tq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Matching Score Logic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match score is calculated as a weighted sum of individual match signals.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ddy0ub2cqsx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score-weights.ts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SCORE_WEIGHTS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projectIdMatch: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amountMatch: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emailMatch: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clientNameMatch: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quickBooksInvoiceIdMatch: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expectedAmountDifferencePenalty: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Negative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mismatched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x643ttucc29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match-score.service.ts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SCORE_WEIGHTS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'../utils/score-weights';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MatchScoreService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calculateScore(matchInput: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projectIdMatches: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amountMatches: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emailMatches: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clientNameMatches: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quickBooksInvoiceIdMatches: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expectedAmountDifference?: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(matchInput.projectIdMatches)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SCORE_WEIGHTS.projectIdMatch;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(matchInput.amountMatches)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SCORE_WEIGHTS.amountMatch;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(matchInput.emailMatches)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SCORE_WEIGHTS.emailMatch;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(matchInput.clientNameMatches)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SCORE_WEIGHTS.clientNameMatch;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(matchInput.quickBooksInvoiceIdMatches)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SCORE_WEIGHTS.quickBooksInvoiceIdMatch;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matchInput.expectedAmountDifference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matchInput.expectedAmountDifference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SCORE_WEIGHTS.expectedAmountDifferencePenalty;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Math.max(score,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vk5a5aj7v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Manual Review Logic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cwv6r881s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Match Score Thresholds</w:t>
      </w:r>
    </w:p>
    <w:tbl>
      <w:tblPr>
        <w:tblStyle w:val="Table1"/>
        <w:tblW w:w="9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2480"/>
        <w:gridCol w:w="1670"/>
        <w:gridCol w:w="2675"/>
        <w:tblGridChange w:id="0">
          <w:tblGrid>
            <w:gridCol w:w="2240"/>
            <w:gridCol w:w="2480"/>
            <w:gridCol w:w="1670"/>
            <w:gridCol w:w="26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 Score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 Action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90–100%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Strong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Suggested "Verified"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70–89%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Likely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Mark after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50–69%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Possible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Requires manual check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0–49%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Likely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Suggest "Rejected"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f9u4tj8ut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Matching Field Explanations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ID</w:t>
      </w:r>
      <w:r w:rsidDel="00000000" w:rsidR="00000000" w:rsidRPr="00000000">
        <w:rPr>
          <w:rtl w:val="0"/>
        </w:rPr>
        <w:t xml:space="preserve">: Most critical identifier. Must match metadata or payment memo.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Amount</w:t>
      </w:r>
      <w:r w:rsidDel="00000000" w:rsidR="00000000" w:rsidRPr="00000000">
        <w:rPr>
          <w:rtl w:val="0"/>
        </w:rPr>
        <w:t xml:space="preserve">: Must match expected contract/project budget.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Can differ (e.g. CFO paying on behalf of team).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Name</w:t>
      </w:r>
      <w:r w:rsidDel="00000000" w:rsidR="00000000" w:rsidRPr="00000000">
        <w:rPr>
          <w:rtl w:val="0"/>
        </w:rPr>
        <w:t xml:space="preserve">: Useful for human comparison.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QuickBooks Invoice ID</w:t>
      </w:r>
      <w:r w:rsidDel="00000000" w:rsidR="00000000" w:rsidRPr="00000000">
        <w:rPr>
          <w:rtl w:val="0"/>
        </w:rPr>
        <w:t xml:space="preserve">: If present in memo, increases confidence.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l85usswfb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📨 Review Criteria for AR Team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Transactions will show in Airtable (not the admin dashboard), where AR staff can: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</w:t>
      </w:r>
      <w:r w:rsidDel="00000000" w:rsidR="00000000" w:rsidRPr="00000000">
        <w:rPr>
          <w:b w:val="1"/>
          <w:bCs w:val="1"/>
          <w:rtl w:val="0"/>
        </w:rPr>
        <w:t xml:space="preserve">match score</w:t>
      </w:r>
      <w:r w:rsidDel="00000000" w:rsidR="00000000" w:rsidRPr="00000000">
        <w:rPr>
          <w:rtl w:val="0"/>
        </w:rPr>
        <w:t xml:space="preserve"> and reasoning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using dropdown: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 Review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</w:t>
      </w:r>
      <w:r w:rsidDel="00000000" w:rsidR="00000000" w:rsidRPr="00000000">
        <w:rPr>
          <w:b w:val="1"/>
          <w:bCs w:val="1"/>
          <w:rtl w:val="0"/>
        </w:rPr>
        <w:t xml:space="preserve">Reviewed By</w:t>
      </w:r>
      <w:r w:rsidDel="00000000" w:rsidR="00000000" w:rsidRPr="00000000">
        <w:rPr>
          <w:rtl w:val="0"/>
        </w:rPr>
        <w:t xml:space="preserve"> user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platform vs received </w:t>
      </w:r>
      <w:r w:rsidDel="00000000" w:rsidR="00000000" w:rsidRPr="00000000">
        <w:rPr>
          <w:b w:val="1"/>
          <w:bCs w:val="1"/>
          <w:rtl w:val="0"/>
        </w:rPr>
        <w:t xml:space="preserve">amount difference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Cross-reference </w:t>
      </w:r>
      <w:r w:rsidDel="00000000" w:rsidR="00000000" w:rsidRPr="00000000">
        <w:rPr>
          <w:b w:val="1"/>
          <w:bCs w:val="1"/>
          <w:rtl w:val="0"/>
        </w:rPr>
        <w:t xml:space="preserve">project 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QuickBooks invoice ID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status change in Airtable affects platform state. Platform status is only updated when </w:t>
      </w:r>
      <w:r w:rsidDel="00000000" w:rsidR="00000000" w:rsidRPr="00000000">
        <w:rPr>
          <w:b w:val="1"/>
          <w:bCs w:val="1"/>
          <w:rtl w:val="0"/>
        </w:rPr>
        <w:t xml:space="preserve">QuickBooks shows invoice as paid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