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6" w:sz="14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6"/>
          <w:szCs w:val="56"/>
          <w:rtl w:val="0"/>
        </w:rPr>
        <w:t xml:space="preserve">Earnings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32"/>
          <w:szCs w:val="32"/>
          <w:rtl w:val="0"/>
        </w:rPr>
        <w:t xml:space="preserve">Doc 00 — Service Overview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Doc 00 — Overview &amp;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Monorepo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3010 (suggested — confirm with DevOps)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Primary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TypeScript / NestJS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PostgreSQL (host via DATABASE_URL env var)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Message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Related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transaction-service, payout-service, user-service, contracts-service, kyc-identity-service, notification-service, time-tracking-service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8" w:val="single"/>
              <w:bottom w:color="2e75b6" w:space="0" w:sz="4" w:val="single"/>
              <w:right w:color="2e75b6" w:space="0" w:sz="4" w:val="single"/>
            </w:tcBorders>
            <w:shd w:fill="ebf4fa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Document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This document covers the complete service overview, architectural role, service boundaries, dependency map, folder structure,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environment variables, and cross-service event contracts for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It is the starting point for all engineers working on this service. Read this before opening any other earnings-service document.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What this document does NOT cover: database schema (Doc 01), API endpoints (Doc 02), RabbitMQ consumers (Doc 03),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currency conversion implementation (Doc 04), or deployment configuration (Doc 05).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1. Purpose &amp;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earnings-service is the contractor-facing financial display layer. It is responsible for one thing: showing contractors accurate, up-to-date information about what they have earned, what is available for withdrawal, and their full earnings history — all in their chosen display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18" w:val="single"/>
              <w:bottom w:color="2e7d32" w:space="0" w:sz="4" w:val="single"/>
              <w:right w:color="2e7d32" w:space="0" w:sz="4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5e20"/>
                <w:sz w:val="20"/>
                <w:szCs w:val="20"/>
                <w:rtl w:val="0"/>
              </w:rPr>
              <w:t xml:space="preserve">Core Responsibility — One Sentence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reads financial records, converts them for display, and serves the Earnings tab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It never writes to the ledger. It never moves money. It never initiates a payout.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All writes and money movement belong exclusively to payout-service and transaction-service.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1.1 What earnings-service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Available balance calculation — the contractor's current spendable balance (ledger credits minus debits minus reserve minus pending holds)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Earnings history display — paginated list of all earnings events with amounts, dates, project/task labels, and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Currency conversion display — converting stored amounts to the contractor's displayCurrency using live fawazahmed0 FX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Earnings aggregation — daily, weekly, monthly, and all-time totals for the Overview tab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Export — CSV and PDF generation of contractor earnings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Redis caching — contractor balance cached for fast Overview tab load, invalidated on new earnings or payout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1.2 What earnings-service does NOT own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7f17" w:space="0" w:sz="4" w:val="single"/>
              <w:left w:color="f57f17" w:space="0" w:sz="18" w:val="single"/>
              <w:bottom w:color="f57f17" w:space="0" w:sz="4" w:val="single"/>
              <w:right w:color="f57f17" w:space="0" w:sz="4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Hard Boundaries — Do Not Cross These in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ledger writes — earnings-service never writes to the transactions table in transaction-service.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payout initiation — all withdrawal and transfer logic belongs to payout-service.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deposit method management — payout-service owns all connected bank accounts, wallets, and OAuth tokens.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KYC gating logic — kyc-identity-service owns all payout eligibility checks.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contract data — contracts-service owns all contract records. earnings-service reads contractId from events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time entry management — time-tracking-service owns all hours and screenshot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✗ No billing of clients — billing-service and checkout-service own all client-side financial 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2. Architectural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earnings-service sits between the transaction ledger and the contractor-facing UI. It is a read-optimised projection layer — it does not own source-of-truth financial data but maintains a fast, display-ready view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2.1 Full Money Flow — Where earnings-service 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CLIENT PAYS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billing-service  ──────────────────────────────────────────────────────────────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Charges client via Stripe. Publishes billing.payment.confirmed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time-tracking-service  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Aggregates approved hours into billing periods. Captures hourlyRate from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contracts-service. Captures FX rate snapshot from fawazahmed0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Publishes timetracking.hours.logged event with full financial payload.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transaction-service  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SOURCE OF TRUTH. Writes immutable CREDIT ledger entry. Idempotency-safe.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Publishes transaction.created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├──────────────────────────────────────────────────────────────────────────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▼                                                              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earnings-service  (THIS SERVICE)                                    payout-service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Consumes transaction.created.                            Initiates money movement.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Updates contractor's displayed balance.                  Reads balance from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Converts amounts to displayCurrency.                     Publishes payout.completed event.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Caches balance in Redis.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Serves Earnings tab via REST API.                     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│                                                       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▼                                                         Consumes payout.completed.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CONTRACTOR SEES UPDATED                                      Decrements displayed 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EARNINGS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2.2 Data flow summary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2600"/>
        <w:gridCol w:w="4160"/>
        <w:tblGridChange w:id="0">
          <w:tblGrid>
            <w:gridCol w:w="400"/>
            <w:gridCol w:w="2200"/>
            <w:gridCol w:w="26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Event /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time-tracking-service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timetracking.hours.logged →transaction-service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Hours are approved, rate is locked, FX snapshot captured, event 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transaction.created →earnings-service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Immutable ledger entry written, downstream event 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Consumes 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Balance cache updated, available balance 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 cache hit returns balance in displayCurrency in &lt;10ms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POST /v1/payouts/withdraw (payout-service)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Withdrawal initiated, payout-service reads balance from 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payout.completed →earnings-service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decrements balance cache, shows updated figure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3. Service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3.1 Services earnings-service depends on (reads from)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000"/>
        <w:gridCol w:w="2560"/>
        <w:tblGridChange w:id="0">
          <w:tblGrid>
            <w:gridCol w:w="2000"/>
            <w:gridCol w:w="2800"/>
            <w:gridCol w:w="2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What earnings-service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How it reads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transaction-service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Ledger entries (CREDIT/DEBIT records)Paginated transaction historyEarnings aggregates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Consumes RabbitMQ events (primary)Direct DB read via shared schema (secondary, read-only)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NEVER writes to transaction-service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user-service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displayCurrency (contractor's chosen display currency)localCurrency (auto-detected)hourlyRate (profile rate — for display only)userId, fullName,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REST API: GET /v1/users/:idJWT sub claim for 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displayCurrency determines all currency conversion. Must be fetched on session start and cached per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contracts-service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contractId (to label earnings by contract)contractStatus (active/ended — for display)rate + rateCurrency (locked contract rate — for display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REST API: GET /v1/contracts/:id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reads contract data for display labeling only. It does not enforce contract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fawazahmed0/exchange-api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Live FX rates for displayCurrency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HTTP GET to self-hosted instanceCached in Redis (1-hour 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 ONLY. The rate used for actual earnings calculation was snapshotted at timetracking.hours.logged time and is stored in the ledger. This FX rate is only for converting the displayed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Contractor balance cacheFX rate cacheSession-scoped currency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 GET/SET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Cache keys: balance:{userId}, fx:{fromCurrency}:{toCurrency}, currency:{userId}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3.2 Services that depend on 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What it reads from 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Available balance before initiating a withdrawalReserve balance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REST API: GET /v1/earnings/balance/:userId (internal, service-to-service 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Cumulative earnings total (for 1099 threshold monitoring)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REST API: GET /v1/earnings/ytd/:userId (internal)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None directly — earnings-service publishes events that notification-service consumes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RabbitMQ event: earnings.balance.updated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3.3 RabbitMQ events earnings-service consumes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Published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Increment balance cache. Queue balance recalculation.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Decrement balance cache. Publish earnings.balance.updated.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Decrement balance by payout amount. Update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balance change. Log warning. Notify contractor via earnings.payout.failed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Store contractId → talentId mapping for earnings labeling.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contract.ended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Mark contract as ended in local label cache. No balance impact.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3.4 RabbitMQ events earnings-service publishes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600"/>
        <w:gridCol w:w="2000"/>
        <w:tblGridChange w:id="0">
          <w:tblGrid>
            <w:gridCol w:w="2200"/>
            <w:gridCol w:w="2600"/>
            <w:gridCol w:w="2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When 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earnings.balance.updated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notification-service, 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After any balance change (credit, debit, payout)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marketeq.earnings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earnings.threshold.reached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When contractor's YTD earnings cross $600 USD equivalent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4.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earnings-service follows the confirmed Marketeq monorepo structure. All service code lives under apps/earnings-service/src/. No code lives at the repo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apps/earnings-service/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├─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├─ package.json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└─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app.module.ts              ← Root module, registers all sub-modules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main.ts                   ← Bootstrap, global pipes, guards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balance/                  ← Available balance calculation + caching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balance.module.ts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balance.service.ts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balance.controller.ts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dto/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     └─ balance-response.dto.ts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earnings/                 ← Earnings history, aggregates,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earnings.module.ts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earnings.service.ts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earnings.controller.ts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entities/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│    │    └─ earnings-cache.entity.ts   ← Local read-model (mirrors ledger subset)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dto/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     ├─ earnings-list.dto.ts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     ├─ earnings-summary.dto.ts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     └─ earnings-export.dto.ts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consumers/                ← RabbitMQ event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consumers.module.ts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transaction-created.consumer.ts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transaction-reversed.consumer.ts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payout-completed.consumer.ts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payout-failed.consumer.ts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contract-activated.consumer.ts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currency/                 ← FX rate fetching + caching + conversion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currency.module.ts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currency.service.ts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fx-rate-cache.service.ts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export/                   ← CSV and PDF earnings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export.module.ts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export.service.ts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├─ publishers/               ← RabbitMQ event publishers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├─ publishers.module.ts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    └─ earnings-events.publisher.ts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├─ guards/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│    ├─ jwt-auth.guard.ts    ← Validates JWT from API Gateway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│    └─ service-auth.guard.ts ← Service-to-service internal 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  └─ config/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b3a6b"/>
                <w:sz w:val="18"/>
                <w:szCs w:val="18"/>
                <w:rtl w:val="0"/>
              </w:rPr>
              <w:t xml:space="preserve">         └─ earnings.config.ts   ← Typed config from env vars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5.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All configuration is injected via environment variables. No secrets are hardcoded. The service will fail to start if required variables are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"/>
        <w:gridCol w:w="4200"/>
        <w:gridCol w:w="1640"/>
        <w:tblGridChange w:id="0">
          <w:tblGrid>
            <w:gridCol w:w="2800"/>
            <w:gridCol w:w="720"/>
            <w:gridCol w:w="4200"/>
            <w:gridCol w:w="1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PostgreSQL connection string. Host is not locked — can be self-hosted Supabase, AWS RDS, or any Postgres-compatible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postgresql://user:pass@localhost:5432/earnings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 connection string for balance and FX rate caching.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redis://localhost:6379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RABBITMQ_URL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RabbitMQ connection string.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amqp://guest:guest@localhost:5672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Shared secret for JWT validation. Must match API Gateway and all other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(secret — never commit to repo)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INTERNAL_SERVICE_TOKEN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Bearer token for service-to-service calls (payout-service reading balance). Rotate regularly.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(secret — never commit to repo)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FX_API_URL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Base URL of the self-hosted fawazahmed0/exchange-api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https://fx.internal.marketeq.com/v1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FX_CACHE_TTL_SECONDS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How long to cache FX rates in Redis. Default: 3600 (1 hour).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BALANCE_CACHE_TTL_SECONDS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How long to cache contractor balance in Redis. Default: 300 (5 min). Invalidated on events regardless of TTL.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HTTP port for the service. Default: 3010.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3010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NODE_ENV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Runtime environment. Affects logging verbosity and error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Logging level. Default: info. Use debug for local dev.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EXPORT_MAX_ROWS_SYNC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Max rows for synchronous export. Requests above this are queued async. Default: 5000.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EXPORT_S3_BUCKET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Cloudflare R2 bucket name for async export file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marketeq-exports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CLOUDFLARE_R2_ENDPOINT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(required for async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R2 endpoint URL.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https://&lt;account&gt;.r2.cloudflarestorage.com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CLOUDFLARE_R2_ACCESS_KEY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(required for async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R2 access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(secret)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CLOUDFLARE_R2_SECRET_KEY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(required for async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R2 secret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(secret)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6. Currency Architecture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95c" w:space="0" w:sz="4" w:val="single"/>
              <w:left w:color="00695c" w:space="0" w:sz="18" w:val="single"/>
              <w:bottom w:color="00695c" w:space="0" w:sz="4" w:val="single"/>
              <w:right w:color="00695c" w:space="0" w:sz="4" w:val="single"/>
            </w:tcBorders>
            <w:shd w:fill="e0f2f1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This is one of the most important things to understand about 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There are TWO separate currency concepts in this system. Confusing them causes billing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1. STORED CURRENCY (in the ledger, in contracts-service) — set at transaction time, NEVER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2. DISPLAY CURRENCY (in earnings-service responses) — converts stored amounts for presentation, changes based on user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6.1 The two currency fields on user-service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800"/>
        <w:gridCol w:w="2360"/>
        <w:tblGridChange w:id="0">
          <w:tblGrid>
            <w:gridCol w:w="2000"/>
            <w:gridCol w:w="2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Set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Auto-detected from geolocation (MaxMind) at signup. Stored on user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 ISO 4217 currency code for the contractor's physical location. E.g. 'INR' for India, 'NGN' for Nigeria.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Default value for displayCurrency at signup. Shown as 'Your local currency' in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Contractor sets manually in Settings. Defaults to localCurrency.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 currency the contractor wants to SEE their balance and earnings displayed in. Can differ from localCurrency.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ALL display amounts in earnings-service. The balance, history amounts, and cards all convert to this currency.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6.2 How rates interact with currency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Rate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Where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Changes?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Profile hourly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user-service: hourlyRate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displayCurrency at time of profile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Yes — contractor can update their profile rate anytime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Contract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contracts-service: rate + rateCurrency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displayCurrency at time of contract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— LOCKED forever. Changing profile rate does not affect existing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Ledger credit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transaction-service: amount +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Currency from the timetracking.hours.logged event (always the contract's rateCurrency)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— immutable ledger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Display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Converted to contractor's current displayCurrency using live FX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Yes — changes as contractor switches displayCurrency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7f17" w:space="0" w:sz="4" w:val="single"/>
              <w:left w:color="f57f17" w:space="0" w:sz="18" w:val="single"/>
              <w:bottom w:color="f57f17" w:space="0" w:sz="4" w:val="single"/>
              <w:right w:color="f57f17" w:space="0" w:sz="4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Gap to Resolve in contracts-service Before Doc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 current contracts-service data model stores rate (a number) but has no rateCurrency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This means the contract amount has no currency denomination — which makes earnings calculation ambiguous.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RECOMMENDATION: Add rateCurrency (varchar, ISO 4217) to the contracts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This field should be captured from the talent's displayCurrency at the time the contract is created.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It is immutable after contract activation — just like the rate itself.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This addition must be made to contracts-service documentation before earnings-service Doc 01 is written.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6.3 FX rate usage — display vs billing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2000"/>
        <w:gridCol w:w="2160"/>
        <w:tblGridChange w:id="0">
          <w:tblGrid>
            <w:gridCol w:w="2400"/>
            <w:gridCol w:w="28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Rate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Rate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Billing the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Rate snapshotted from fawazahmed0 API at the exact moment timetracking.hours.logged event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At transaction time — stored in ledger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time-tracking-service, billing-service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Displaying balance in 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Live rate fetched from self-hosted fawazahmed0 API instance, cached in Redis for 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At display time — refreshed hourly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Export PDF/CSV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Same as display — current live rate at export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At export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export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Historical earnings list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Live rate at time of API call (approximate)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At API call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7. 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7.1 JWT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All public-facing endpoints require a valid JWT issued by auth-service and validated at the API Gateway. earnings-service re-validates the JWT on every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JWT payload structure (from auth-service)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"sub": "user-uuid",          // userId — matches users.id in user-service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"role": "contractor",         // "contractor" | "client" | "admin"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"email": "user@email.com",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"iat": 1696159200,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  "exp": 1696166400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earnings-service guard checks: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1. Token is valid and not expired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2. role === 'contractor' for all contractor-facing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3a6b"/>
                <w:sz w:val="18"/>
                <w:szCs w:val="18"/>
                <w:rtl w:val="0"/>
              </w:rPr>
              <w:t xml:space="preserve">// 3. sub matches the :userId param (contractors can only see their own 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7.2 Service-to-service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444444"/>
          <w:sz w:val="20"/>
          <w:szCs w:val="20"/>
          <w:rtl w:val="0"/>
        </w:rPr>
        <w:t xml:space="preserve">Internal endpoints (e.g. payout-service reading a contractor's balance) use a shared INTERNAL_SERVICE_TOKEN bearer token, not a user JWT. These endpoints are not accessible via the API Gateway — they are internal-only.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7.3 Role rules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560"/>
        <w:gridCol w:w="3200"/>
        <w:tblGridChange w:id="0">
          <w:tblGrid>
            <w:gridCol w:w="1600"/>
            <w:gridCol w:w="45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Full access to own earnings data only. Cannot access another contractor's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Most endpoints. Enforced by matching JWT sub to requested userId.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No access to earnings-service.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Clients have no earnings. All client financial data lives in billing-service.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 access to any contractor's earnings for support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Admin endpoints require role === 'admin' in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Internal endpoints only. Identified by INTERNAL_SERVICE_TOKEN.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Used by payout-service and kyc-identity-service.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8. Key Design Decisions &amp;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What Was 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Read-only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never writes to transaction-service. It maintains its own read-model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Separates display bugs from financial integrity bugs. A bad query in earnings-service cannot corrupt the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Separate from 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earnings-service and payout-service are two distinct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Display logic and money movement have different risk profiles, scaling needs, and deployment cadences. A payout-service outage should not take down the earnings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Redis balance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Available balance is cached in Redis, not calculated on every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 balance query (SUM of all ledger entries for a user) is expensive at scale. Cache is invalidated on every relevant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Rate snapshot in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The FX rate used for billing is stored in the ledger entry, not recalculated at display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Ensures financial accuracy. Stored rate = what was actually used for billing. Display rate = approximate live conversion for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fawazahmed0/exchange-api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Selected over Frankfurter (limited to ~33 currencies) and paid APIs.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200+ currencies, fully open source, no rate limits, no API key, self-hostable. Covers all contractor locales globally.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Self-hosted FX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FX API is self-hosted, not called from the public internet.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Eliminates external API dependency for a critical display path. No rate limits, no downtime risk from public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Database host 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DATABASE_URL used — no Supabase, AWS, or any vendor locked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Engineering team is evaluating hosting options. Docs should not need to change when the host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No Plaid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Bank account verification uses Stripe Financial Connections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Plaid and Stripe cannot be used simultaneously. Stripe Financial Connections covers all required verification 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pBdr>
          <w:bottom w:color="2e75b6" w:space="6" w:sz="10" w:val="single"/>
        </w:pBd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6"/>
          <w:szCs w:val="36"/>
          <w:rtl w:val="0"/>
        </w:rPr>
        <w:t xml:space="preserve">9. Document Series — What Comes Next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200"/>
        <w:gridCol w:w="1600"/>
        <w:gridCol w:w="3760"/>
        <w:tblGridChange w:id="0">
          <w:tblGrid>
            <w:gridCol w:w="800"/>
            <w:gridCol w:w="3200"/>
            <w:gridCol w:w="1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9"/>
                <w:szCs w:val="19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Service Overview &amp; Architecture (this document)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Database Schema &amp;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contracts-service rateCurrency gap must be resolved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REST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Doc 01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RabbitMQ Consumers &amp; Event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time-tracking alignment analysis (complete)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Currency Conversion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fawazahmed0 self-hosted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Redis Caching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Ready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Doc 01, Doc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Export (CSV &amp; 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After core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Cloudflare R2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Error Handling &amp;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After core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All endpoints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Security &amp; Permissions (detailed)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After core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kyc-identity-service Doc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9"/>
                <w:szCs w:val="19"/>
                <w:rtl w:val="0"/>
              </w:rPr>
              <w:t xml:space="preserve">Doc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Deployment &amp;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444444"/>
                <w:sz w:val="19"/>
                <w:szCs w:val="19"/>
                <w:rtl w:val="0"/>
              </w:rPr>
              <w:t xml:space="preserve">DevOps confirms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cccccc" w:space="4" w:sz="4" w:val="single"/>
        </w:pBd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Doc 00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Platform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Doc 00 — Service Overview &amp; Architecture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