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Audit Log Handler for Source = Strapi (Listings Microservice)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provides the complete implementation for tracking changes made through Strapi in your Listings Microservice audit log system. The purpose is to ensure a single unified audit trail for all updates, whether they originate from the frontend or the Strapi admin interface.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t0vfx7kdgpw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✍️ Step 1: Update the AuditLog Entity (PostgreSQL + TypeORM)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a new field to the audit log entity to record the source of the update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strapi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frontend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src/audit-log/entities/audit-log.entity.ts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enum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AuditSource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FRONTEND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'frontend',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STRAPI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'strapi',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@Entity('audit_logs')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AuditLog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@PrimaryGeneratedColumn('uuid')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@Column()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resource_type: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e.g.,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"project"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@Column()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resource_id: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@Column()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field_changed: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@Column({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nullable: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old_value: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@Column({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nullable: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new_value: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@Column({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'enum',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enum: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AuditSource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source: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AuditSource;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@Column({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nullable: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@Column({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nullable: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user_email: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@Column({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nullable: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user_name: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@CreateDateColumn()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timestamp: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v3qqcnxjvak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🔧 Step 2: Create Utility Function for Logging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src/audit-log/utils/log-audit-change.ts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AuditLog,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AuditSource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'../entities/audit-log.entity';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DataSource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'typeorm';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logAuditChange({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resource_type,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resource_id,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field_changed,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old_value,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new_value,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user_id,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user_email,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user_name,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source,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resource_type: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resource_id: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field_changed: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old_value?: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new_value?: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user_id?: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user_email?: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user_name?: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source: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AuditSource;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logRepo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DataSource().getRepository(AuditLog);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logEntry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logRepo.create({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resource_type,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resource_id,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field_changed,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old_value,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new_value,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user_id,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user_email,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user_name,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source,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logRepo.save(logEntry);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88i2dp7laup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📢 Step 3: Add Logging Call to Sync Handler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Edit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strapi-sync.service.ts</w:t>
      </w:r>
      <w:r w:rsidDel="00000000" w:rsidR="00000000" w:rsidRPr="00000000">
        <w:rPr>
          <w:rtl w:val="0"/>
        </w:rPr>
        <w:t xml:space="preserve"> to call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logAuditChange()</w:t>
      </w:r>
      <w:r w:rsidDel="00000000" w:rsidR="00000000" w:rsidRPr="00000000">
        <w:rPr>
          <w:rtl w:val="0"/>
        </w:rPr>
        <w:t xml:space="preserve"> after a field update:</w:t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src/strapi-sync/strapi-sync.service.ts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logAuditChange({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resource_type: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'project',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resource_id: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project.id,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field_changed: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'title',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old_value: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oldProject.title,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new_value: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payload.title,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'strapi-admin-id',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user_email: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'admin@example.com',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user_name: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'Strapi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source: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AuditSource.STRAPI,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⚠️ You can dynamically pull the Strapi user info if included in the webhook payload.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vqafmlzbq8z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Notes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This same structure supports logging from frontend and Strapi with no separate logic branches.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source</w:t>
      </w:r>
      <w:r w:rsidDel="00000000" w:rsidR="00000000" w:rsidRPr="00000000">
        <w:rPr>
          <w:rtl w:val="0"/>
        </w:rPr>
        <w:t xml:space="preserve"> field to filter or group audit logs in your admin UI.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 entries can be viewed in a dedicated Audit Log tab or downloaded for compliance.</w:t>
        <w:br w:type="textWrapping"/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