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5srl126ob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Suggested File Structure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e2ee.ts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encrypt/decrypt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load/save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useMessaging.ts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4nmzvtv99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1. Generate or Load RSA Key Pair (client-side)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/src/crypto/keys.ts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generateKeyPair()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window.crypto.subtle.generateKey(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modulusLength: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publicExponent: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Uint8Array([1,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exportPublicKey(key: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window.crypto.subtle.exportKey("spki",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Uint8Array(exported)));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exportPrivateKey(key: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window.crypto.subtle.exportKey("pkcs8",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Uint8Array(exported)));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importPublicKey(pem: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Promise&lt;CryptoKey&gt;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Uint8Array.from(atob(pem),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"spki",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importPrivateKey(pem: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Promise&lt;CryptoKey&gt;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Uint8Array.from(atob(pem),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"pkcs8",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83iui2g3p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2. Encrypt &amp; Decrypt Messages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/src/crypto/e2ee.ts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encryptMessage(plainText: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recipientPublicKey: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TextEncoder().encode(plainText);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window.crypto.subtle.encrypt(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recipientPublicKey,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Uint8Array(encrypted)));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decryptMessage(cipherText: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Uint8Array.from(atob(cipherText),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window.crypto.subtle.decrypt(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TextDecoder().decode(decrypted);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g8bamexhi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3. Typical Flow in a React Hook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/src/hooks/useMessaging.ts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"@/crypto/e2ee";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importPublicKey,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"@/crypto/keys";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getRecipientPublicKey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"@/api/user";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useMessaging(currentUserPrivateKey: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sendEncryptedMessage(toUserId: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recipientPem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getRecipientPublicKey(toUserId);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importPublicKey(recipientPem);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encryptMessage(plainText,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`encrypted`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fetch("/api/messages",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decryptIncomingMessage(cipherText: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decryptMessage(cipherText,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sendEncryptedMessage,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decryptIncomingMessage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rgpohvrw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4. Minimal API to Fetch Public Keys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/src/api/user.ts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getRecipientPublicKey(userId: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fetch(`/api/users/${userId}/public-key`);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data.publicKey;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(Your server stores public keys per user — never private keys.)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tyyujvpsr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Summary: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encryption happens in the browser.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Server &amp; DB only see ciphertext.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Ably or your messaging transport carries encrypted payload.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