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03 - Secure private key storage in IndexedDB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7werod1v2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Directory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indexedDb.ts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storing/loading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xyh4cxjy8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Setup IndexedDB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idb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library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tiny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idb</w:t>
      </w:r>
      <w:r w:rsidDel="00000000" w:rsidR="00000000" w:rsidRPr="00000000">
        <w:rPr>
          <w:rtl w:val="0"/>
        </w:rPr>
        <w:t xml:space="preserve"> wrapper for safe IndexedDB.</w:t>
        <w:br w:type="textWrapping"/>
        <w:t xml:space="preserve"> (IndexedDB is native, 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idb</w:t>
      </w:r>
      <w:r w:rsidDel="00000000" w:rsidR="00000000" w:rsidRPr="00000000">
        <w:rPr>
          <w:rtl w:val="0"/>
        </w:rPr>
        <w:t xml:space="preserve"> makes it ergonomic + auto wraps transactions.)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ropyv1nzn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/src/crypto/indexedDb.ts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'idb';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'marketeq-e2ee';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'keys';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window.crypto.subtle.exportKey('pkcs8',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openDB(DB_NAME,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upgrade(db)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db.createObjectStore(STORE_NAME);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db.put(STORE_NAME,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`private-${userId}`);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Promise&lt;CryptoKey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openDB(DB_NAME,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db.get(STORE_NAME,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`private-${userId}`);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(!exported)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'pkcs8',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'RSA-OAEP',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'SHA-256'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['decrypt']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openDB(DB_NAME,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db.delete(STORE_NAME,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`private-${userId}`);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gralfj34l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How this protects your E2EE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No plaintext keys ever go to your backend or DB.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Only this user’s browser keeps the private key (in IndexedDB).</w:t>
        <w:br w:type="textWrapping"/>
        <w:t xml:space="preserve"> ✅ If they clear their storage, they’ll need to regenerate or restore their private key.</w:t>
        <w:br w:type="textWrapping"/>
        <w:t xml:space="preserve"> (You could optionally give them an encrypted backup file, like ProtonMail’s recovery key.)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11zhommz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Typical usage in your auth flow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"@/crypto/keys";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"@/crypto/indexedDb";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keyPair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publicKeyPem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exportPublicKey(keyPair.publicKey);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fetch('/api/users/me/public-key',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'PATCH',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publicKeyPem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savePrivateKey('current-user-id',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keyPair.privateKey);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loadPrivateKey('current-user-id');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(!privateKey)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alert("Missing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re-onboard.");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f0txalccf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45"/>
        <w:gridCol w:w="2150"/>
        <w:tblGridChange w:id="0">
          <w:tblGrid>
            <w:gridCol w:w="6845"/>
            <w:gridCol w:w="215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achieves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Keeps private key on local device only (IndexedDB).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Even if your DB is breached, attacker can’t decrypt messages.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No UX disruptions — keys load automatically in the background.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