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hqp4zyohde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🛡 Security Incident Response Plan (E2EE Platform)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1hreo1yw26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🚨 What to do if your DB, servers, or Ably transport is compromised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u92dq9ieyjn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The core principle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system is </w:t>
      </w:r>
      <w:r w:rsidDel="00000000" w:rsidR="00000000" w:rsidRPr="00000000">
        <w:rPr>
          <w:b w:val="1"/>
          <w:bCs w:val="1"/>
          <w:rtl w:val="0"/>
        </w:rPr>
        <w:t xml:space="preserve">end-to-end encrypted (E2EE)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1"/>
        <w:tblW w:w="6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0"/>
        <w:gridCol w:w="5765"/>
        <w:tblGridChange w:id="0">
          <w:tblGrid>
            <w:gridCol w:w="470"/>
            <w:gridCol w:w="576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Which means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All message content is stored &amp; transmitted as ciphertext.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Only user devices with private keys can decrypt it.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Your server, DB, and Ably only ever see encrypted blobs.</w:t>
            </w:r>
          </w:p>
        </w:tc>
      </w:tr>
    </w:tbl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even if an attacker steals your </w:t>
      </w:r>
      <w:r w:rsidDel="00000000" w:rsidR="00000000" w:rsidRPr="00000000">
        <w:rPr>
          <w:b w:val="1"/>
          <w:bCs w:val="1"/>
          <w:rtl w:val="0"/>
        </w:rPr>
        <w:t xml:space="preserve">entire database or intercepts Ably traffic</w:t>
      </w:r>
      <w:r w:rsidDel="00000000" w:rsidR="00000000" w:rsidRPr="00000000">
        <w:rPr>
          <w:rtl w:val="0"/>
        </w:rPr>
        <w:t xml:space="preserve">, they cannot read a single message.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0p99zfqwxkk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Immediate incident checklist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00.931709899418"/>
        <w:gridCol w:w="6159.068290100582"/>
        <w:tblGridChange w:id="0">
          <w:tblGrid>
            <w:gridCol w:w="3200.931709899418"/>
            <w:gridCol w:w="6159.06829010058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Lock down credentials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Rotate database, Ably API keys, internal service credentials immediately.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Run forensic checks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Identify access vector (SQL injection, stolen token, insider misuse, etc).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Notify your CTO &amp; legal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Required under most data breach policies.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Check audit 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Verify if data was exfiltrated or just exposed.</w:t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444pomwbjfs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📢 Customer communication template</w:t>
      </w:r>
    </w:p>
    <w:p w:rsidR="00000000" w:rsidDel="00000000" w:rsidP="00000000" w:rsidRDefault="00000000" w:rsidRPr="00000000" w14:paraId="0000001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to say to clients, talent, and external stakeholders:</w:t>
      </w:r>
    </w:p>
    <w:p w:rsidR="00000000" w:rsidDel="00000000" w:rsidP="00000000" w:rsidRDefault="00000000" w:rsidRPr="00000000" w14:paraId="0000001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“We recently identified unauthorized access to our infrastructure. However, due to our platform’s end-to-end encryption, your messages and files remain fully protected — they are stored in an encrypted form that can only be decrypted by your own device. No plaintext messages were exposed at any point.”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28bwalp0qml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📝 Documentation for compliance reports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 in your internal post-incident doc:</w:t>
      </w:r>
    </w:p>
    <w:tbl>
      <w:tblPr>
        <w:tblStyle w:val="Table3"/>
        <w:tblW w:w="89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80"/>
        <w:gridCol w:w="6425"/>
        <w:tblGridChange w:id="0">
          <w:tblGrid>
            <w:gridCol w:w="2480"/>
            <w:gridCol w:w="64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 of breach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e.g. SQL dump, stolen Ably token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Scope of data exposed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Encrypted messages, user metadata (names, emails, timestamps)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 to user 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  <w:t xml:space="preserve"> (due to E2EE — ciphertext useless without private keys)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Corrective 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Rotated keys, patched vulnerability, updated monitoring</w:t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5sedu2gy4z2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🛡 Your ultimate defense line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19.841185812599"/>
        <w:gridCol w:w="7140.1588141874"/>
        <w:tblGridChange w:id="0">
          <w:tblGrid>
            <w:gridCol w:w="2219.841185812599"/>
            <w:gridCol w:w="7140.1588141874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your architecture is safe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🛡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Zero trust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You don’t hold plaintext. The data is mathematically secure.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🔑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Client-only decryption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Without the user’s private key, even attackers with your full DB cannot decrypt.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🔍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Auditable proof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Can demonstrate to regulators (GDPR, CCPA) that content was never readable by your systems or an attacker.</w:t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5oizkrcp4ri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Summary script for your support team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“Thanks for reaching out. Our security team detected unusual activity on our systems. Because our platform uses strong end-to-end encryption, your conversations remain fully secure — no one, including Marketeq, can read your messages without your private device keys.”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