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2dy852ktt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 Foreign Keys Across Microservices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7ebhx262x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🛑 Do Not Use Foreign Keys to Reference External Service Data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microservices architecture, </w:t>
      </w:r>
      <w:r w:rsidDel="00000000" w:rsidR="00000000" w:rsidRPr="00000000">
        <w:rPr>
          <w:b w:val="1"/>
          <w:bCs w:val="1"/>
          <w:rtl w:val="0"/>
        </w:rPr>
        <w:t xml:space="preserve">foreign keys should not be used to reference data owned by another microservice</w:t>
      </w:r>
      <w:r w:rsidDel="00000000" w:rsidR="00000000" w:rsidRPr="00000000">
        <w:rPr>
          <w:rtl w:val="0"/>
        </w:rPr>
        <w:t xml:space="preserve">. Each microservice must own its database schema and operate independently.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p9is46br5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What You Should Avoid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do this: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@ManyToOne(()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@JoinColumn({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UserEntity;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creates: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foreign key to a table owned by another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hard dependency that breaks deployments, versioning, and schema synchronization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 like the one currently blocking your schema sync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8u0pcw4e3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 You Should Do Instead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simple ID reference</w:t>
      </w:r>
      <w:r w:rsidDel="00000000" w:rsidR="00000000" w:rsidRPr="00000000">
        <w:rPr>
          <w:rtl w:val="0"/>
        </w:rPr>
        <w:t xml:space="preserve"> and fetch related data via service APIs.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Then, when rendering the full Project Details Page or related data: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your local data</w:t>
      </w:r>
      <w:r w:rsidDel="00000000" w:rsidR="00000000" w:rsidRPr="00000000">
        <w:rPr>
          <w:rtl w:val="0"/>
        </w:rPr>
        <w:t xml:space="preserve"> (e.g. tasks, assignments, project scope)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 external data via API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pseudo-code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userService.getUserById(userId);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nyply24r9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🕓 What If the External Microservice Isn’t Ready Yet?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API is not finalized yet: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You may keep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userId</w:t>
      </w:r>
      <w:r w:rsidDel="00000000" w:rsidR="00000000" w:rsidRPr="00000000">
        <w:rPr>
          <w:b w:val="1"/>
          <w:bCs w:val="1"/>
          <w:rtl w:val="0"/>
        </w:rPr>
        <w:t xml:space="preserve"> field</w:t>
      </w:r>
      <w:r w:rsidDel="00000000" w:rsidR="00000000" w:rsidRPr="00000000">
        <w:rPr>
          <w:rtl w:val="0"/>
        </w:rPr>
        <w:t xml:space="preserve"> (as a string)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🛑 But you must remove the foreign key and relation decorators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@ManyToOne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@JoinColumn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⏳ Wait to implement the actual API call</w:t>
      </w:r>
      <w:r w:rsidDel="00000000" w:rsidR="00000000" w:rsidRPr="00000000">
        <w:rPr>
          <w:rtl w:val="0"/>
        </w:rPr>
        <w:t xml:space="preserve"> until the service is available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3lv25iumu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🧼 Should We Delete the Foreign Key?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Yes, you must delete the foreign key from the database schema</w:t>
      </w:r>
      <w:r w:rsidDel="00000000" w:rsidR="00000000" w:rsidRPr="00000000">
        <w:rPr>
          <w:rtl w:val="0"/>
        </w:rPr>
        <w:t xml:space="preserve"> if it references another service’s table.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do this safely by: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Removing the TypeORM decorators from the entity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a migration (or manually altering the table) to drop the constraint</w:t>
        <w:br w:type="textWrapping"/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fk_userid;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ppypk6vt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</w:t>
      </w:r>
    </w:p>
    <w:tbl>
      <w:tblPr>
        <w:tblStyle w:val="Table1"/>
        <w:tblW w:w="9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0"/>
        <w:gridCol w:w="4685"/>
        <w:tblGridChange w:id="0">
          <w:tblGrid>
            <w:gridCol w:w="4400"/>
            <w:gridCol w:w="4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 as a plain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@ManyToOne(() =&gt; UserEntity)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Fetch user data through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user-service</w:t>
            </w:r>
            <w:r w:rsidDel="00000000" w:rsidR="00000000" w:rsidRPr="00000000">
              <w:rPr>
                <w:rtl w:val="0"/>
              </w:rPr>
              <w:t xml:space="preserve">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Use ORM joins or cross-service foreign keys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Wait for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user-service</w:t>
            </w:r>
            <w:r w:rsidDel="00000000" w:rsidR="00000000" w:rsidRPr="00000000">
              <w:rPr>
                <w:rtl w:val="0"/>
              </w:rPr>
              <w:t xml:space="preserve"> API to be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Block schema updates or tight-couple services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