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36704vdsgyf" w:id="0"/>
      <w:bookmarkEnd w:id="0"/>
      <w:r w:rsidDel="00000000" w:rsidR="00000000" w:rsidRPr="00000000">
        <w:rPr>
          <w:b w:val="1"/>
          <w:bCs w:val="1"/>
          <w:sz w:val="34"/>
          <w:szCs w:val="34"/>
          <w:rtl w:val="0"/>
        </w:rPr>
        <w:t xml:space="preserve">Guide: Moving Existing Code into a Microservice Container (Monorepo Architecture)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ry5q6m9s3ud"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guide provides a consistent step-by-step process for moving any existing business logic or feature code into its appropriate microservice container inside our monorepo. Developers should follow this guide to maintain modularity, enforce service boundaries, and avoid having to refactor or untangle code later.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cllep4lj2j6" w:id="2"/>
      <w:bookmarkEnd w:id="2"/>
      <w:r w:rsidDel="00000000" w:rsidR="00000000" w:rsidRPr="00000000">
        <w:rPr>
          <w:b w:val="1"/>
          <w:bCs w:val="1"/>
          <w:color w:val="000000"/>
          <w:sz w:val="26"/>
          <w:szCs w:val="26"/>
          <w:rtl w:val="0"/>
        </w:rPr>
        <w:t xml:space="preserve">When to Use This Guide</w:t>
      </w:r>
    </w:p>
    <w:p w:rsidR="00000000" w:rsidDel="00000000" w:rsidP="00000000" w:rsidRDefault="00000000" w:rsidRPr="00000000" w14:paraId="00000006">
      <w:pPr>
        <w:spacing w:after="240" w:before="240" w:lineRule="auto"/>
        <w:rPr/>
      </w:pPr>
      <w:r w:rsidDel="00000000" w:rsidR="00000000" w:rsidRPr="00000000">
        <w:rPr>
          <w:rtl w:val="0"/>
        </w:rPr>
        <w:t xml:space="preserve">Use this guide whenever:</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You’ve written new logic or features outside an existing microservice directory (e.g., directly in the API Gateway or in a temp folder).</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You’re creating a </w:t>
      </w:r>
      <w:r w:rsidDel="00000000" w:rsidR="00000000" w:rsidRPr="00000000">
        <w:rPr>
          <w:b w:val="1"/>
          <w:bCs w:val="1"/>
          <w:rtl w:val="0"/>
        </w:rPr>
        <w:t xml:space="preserve">new feature</w:t>
      </w:r>
      <w:r w:rsidDel="00000000" w:rsidR="00000000" w:rsidRPr="00000000">
        <w:rPr>
          <w:rtl w:val="0"/>
        </w:rPr>
        <w:t xml:space="preserve"> that deserves its own service (e.g., notifications, billing, analytics).</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You need to </w:t>
      </w:r>
      <w:r w:rsidDel="00000000" w:rsidR="00000000" w:rsidRPr="00000000">
        <w:rPr>
          <w:b w:val="1"/>
          <w:bCs w:val="1"/>
          <w:rtl w:val="0"/>
        </w:rPr>
        <w:t xml:space="preserve">refactor shared logic</w:t>
      </w:r>
      <w:r w:rsidDel="00000000" w:rsidR="00000000" w:rsidRPr="00000000">
        <w:rPr>
          <w:rtl w:val="0"/>
        </w:rPr>
        <w:t xml:space="preserve"> into a separate, reusable microservice.</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t6x6tp1qyts" w:id="3"/>
      <w:bookmarkEnd w:id="3"/>
      <w:r w:rsidDel="00000000" w:rsidR="00000000" w:rsidRPr="00000000">
        <w:rPr>
          <w:b w:val="1"/>
          <w:bCs w:val="1"/>
          <w:color w:val="000000"/>
          <w:sz w:val="26"/>
          <w:szCs w:val="26"/>
          <w:rtl w:val="0"/>
        </w:rPr>
        <w:t xml:space="preserve">Step-by-Step: Move or Create a Microservice from Scratch</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6ojgyw6idcmj" w:id="4"/>
      <w:bookmarkEnd w:id="4"/>
      <w:r w:rsidDel="00000000" w:rsidR="00000000" w:rsidRPr="00000000">
        <w:rPr>
          <w:b w:val="1"/>
          <w:bCs w:val="1"/>
          <w:color w:val="000000"/>
          <w:sz w:val="22"/>
          <w:szCs w:val="22"/>
          <w:rtl w:val="0"/>
        </w:rPr>
        <w:t xml:space="preserve">1. Determine the Microservice Boundary</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single responsibility</w:t>
      </w:r>
      <w:r w:rsidDel="00000000" w:rsidR="00000000" w:rsidRPr="00000000">
        <w:rPr>
          <w:rtl w:val="0"/>
        </w:rPr>
        <w:t xml:space="preserve"> does this code have?</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Should this be its own service (e.g., "notifications-service")?</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Or should it move into an existing service (e.g.,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user-service</w:t>
      </w:r>
      <w:r w:rsidDel="00000000" w:rsidR="00000000" w:rsidRPr="00000000">
        <w:rPr>
          <w:rtl w:val="0"/>
        </w:rPr>
        <w:t xml:space="preserve">)?</w:t>
        <w:br w:type="textWrapping"/>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9xgpmz2ogmsu" w:id="5"/>
      <w:bookmarkEnd w:id="5"/>
      <w:r w:rsidDel="00000000" w:rsidR="00000000" w:rsidRPr="00000000">
        <w:rPr>
          <w:b w:val="1"/>
          <w:bCs w:val="1"/>
          <w:color w:val="000000"/>
          <w:sz w:val="22"/>
          <w:szCs w:val="22"/>
          <w:rtl w:val="0"/>
        </w:rPr>
        <w:t xml:space="preserve">2. Create a New Folder (if Needed)</w:t>
      </w:r>
    </w:p>
    <w:p w:rsidR="00000000" w:rsidDel="00000000" w:rsidP="00000000" w:rsidRDefault="00000000" w:rsidRPr="00000000" w14:paraId="0000001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mkdir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your-service-name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your-service-name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your-service-name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--skip-install</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Make sure it follows the same structure used in other services (e.g.,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app.module.ts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liev3i9ecnud" w:id="6"/>
      <w:bookmarkEnd w:id="6"/>
      <w:r w:rsidDel="00000000" w:rsidR="00000000" w:rsidRPr="00000000">
        <w:rPr>
          <w:b w:val="1"/>
          <w:bCs w:val="1"/>
          <w:color w:val="000000"/>
          <w:sz w:val="22"/>
          <w:szCs w:val="22"/>
          <w:rtl w:val="0"/>
        </w:rPr>
        <w:t xml:space="preserve">3. Move Logic Into the New Service</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Move all related controllers, services, DTOs, and utilities.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Update imports and module paths.</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If the logic depends on other services (e.g. auth, user), communicate with them via REST.</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Example:</w:t>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/api-gateway</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/notifications-service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notifications.controller.ts</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notifications.service.ts</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2nce81zqya6" w:id="7"/>
      <w:bookmarkEnd w:id="7"/>
      <w:r w:rsidDel="00000000" w:rsidR="00000000" w:rsidRPr="00000000">
        <w:rPr>
          <w:b w:val="1"/>
          <w:bCs w:val="1"/>
          <w:color w:val="000000"/>
          <w:sz w:val="22"/>
          <w:szCs w:val="22"/>
          <w:rtl w:val="0"/>
        </w:rPr>
        <w:t xml:space="preserve">4. Register the Microservice in </w:t>
      </w:r>
      <w:r w:rsidDel="00000000" w:rsidR="00000000" w:rsidRPr="00000000">
        <w:rPr>
          <w:rFonts w:ascii="Roboto Mono" w:cs="Roboto Mono" w:eastAsia="Roboto Mono" w:hAnsi="Roboto Mono"/>
          <w:b w:val="1"/>
          <w:bCs w:val="1"/>
          <w:color w:val="188038"/>
          <w:sz w:val="22"/>
          <w:szCs w:val="22"/>
          <w:rtl w:val="0"/>
        </w:rPr>
        <w:t xml:space="preserve">nest-cli.json</w:t>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rtl w:val="0"/>
        </w:rPr>
        <w:t xml:space="preserve">"projects":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"api-gateway":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"apps/notifications-service"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22drsudpz02l" w:id="8"/>
      <w:bookmarkEnd w:id="8"/>
      <w:r w:rsidDel="00000000" w:rsidR="00000000" w:rsidRPr="00000000">
        <w:rPr>
          <w:b w:val="1"/>
          <w:bCs w:val="1"/>
          <w:color w:val="000000"/>
          <w:sz w:val="22"/>
          <w:szCs w:val="22"/>
          <w:rtl w:val="0"/>
        </w:rPr>
        <w:t xml:space="preserve">5. Set Up the Main Entry Point</w:t>
      </w:r>
    </w:p>
    <w:p w:rsidR="00000000" w:rsidDel="00000000" w:rsidP="00000000" w:rsidRDefault="00000000" w:rsidRPr="00000000" w14:paraId="00000030">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notifications-service/src/main.ts</w:t>
      </w:r>
      <w:r w:rsidDel="00000000" w:rsidR="00000000" w:rsidRPr="00000000">
        <w:rPr>
          <w:rtl w:val="0"/>
        </w:rPr>
        <w:t xml:space="preserve">:</w:t>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NestFactory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'@nestjs/core';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'./app.module';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bootstrap()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NestFactory.create(AppModule);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app.listen(3002);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bootstrap();</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ojmzgd4w84gg" w:id="9"/>
      <w:bookmarkEnd w:id="9"/>
      <w:r w:rsidDel="00000000" w:rsidR="00000000" w:rsidRPr="00000000">
        <w:rPr>
          <w:b w:val="1"/>
          <w:bCs w:val="1"/>
          <w:color w:val="000000"/>
          <w:sz w:val="22"/>
          <w:szCs w:val="22"/>
          <w:rtl w:val="0"/>
        </w:rPr>
        <w:t xml:space="preserve">6. Expose Necessary REST Endpoints</w:t>
      </w:r>
    </w:p>
    <w:p w:rsidR="00000000" w:rsidDel="00000000" w:rsidP="00000000" w:rsidRDefault="00000000" w:rsidRPr="00000000" w14:paraId="0000003B">
      <w:pPr>
        <w:spacing w:after="240" w:before="240" w:lineRule="auto"/>
        <w:rPr/>
      </w:pPr>
      <w:r w:rsidDel="00000000" w:rsidR="00000000" w:rsidRPr="00000000">
        <w:rPr>
          <w:rtl w:val="0"/>
        </w:rPr>
        <w:t xml:space="preserve">Your controller should expose endpoints as needed (e.g., </w:t>
      </w:r>
      <w:r w:rsidDel="00000000" w:rsidR="00000000" w:rsidRPr="00000000">
        <w:rPr>
          <w:rFonts w:ascii="Roboto Mono" w:cs="Roboto Mono" w:eastAsia="Roboto Mono" w:hAnsi="Roboto Mono"/>
          <w:color w:val="188038"/>
          <w:rtl w:val="0"/>
        </w:rPr>
        <w:t xml:space="preserve">/notifications/send</w:t>
      </w:r>
      <w:r w:rsidDel="00000000" w:rsidR="00000000" w:rsidRPr="00000000">
        <w:rPr>
          <w:rtl w:val="0"/>
        </w:rPr>
        <w:t xml:space="preserve">), and other services (like the gateway) should call them via Axios.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haa3uooxj37i" w:id="10"/>
      <w:bookmarkEnd w:id="10"/>
      <w:r w:rsidDel="00000000" w:rsidR="00000000" w:rsidRPr="00000000">
        <w:rPr>
          <w:b w:val="1"/>
          <w:bCs w:val="1"/>
          <w:color w:val="000000"/>
          <w:sz w:val="22"/>
          <w:szCs w:val="22"/>
          <w:rtl w:val="0"/>
        </w:rPr>
        <w:t xml:space="preserve">7. Add API Gateway Integration</w:t>
      </w:r>
    </w:p>
    <w:p w:rsidR="00000000" w:rsidDel="00000000" w:rsidP="00000000" w:rsidRDefault="00000000" w:rsidRPr="00000000" w14:paraId="0000003E">
      <w:pPr>
        <w:spacing w:after="240" w:before="240" w:lineRule="auto"/>
        <w:rPr/>
      </w:pPr>
      <w:r w:rsidDel="00000000" w:rsidR="00000000" w:rsidRPr="00000000">
        <w:rPr>
          <w:rtl w:val="0"/>
        </w:rPr>
        <w:t xml:space="preserve">If this service is part of the user-facing application or will be accessed by the frontend, you </w:t>
      </w:r>
      <w:r w:rsidDel="00000000" w:rsidR="00000000" w:rsidRPr="00000000">
        <w:rPr>
          <w:b w:val="1"/>
          <w:bCs w:val="1"/>
          <w:rtl w:val="0"/>
        </w:rPr>
        <w:t xml:space="preserve">must</w:t>
      </w:r>
      <w:r w:rsidDel="00000000" w:rsidR="00000000" w:rsidRPr="00000000">
        <w:rPr>
          <w:rtl w:val="0"/>
        </w:rPr>
        <w:t xml:space="preserve"> add a REST client in the API Gateway to communicate with it. Only skip this step if the service is strictly internal or used solely for background processing.</w:t>
      </w:r>
    </w:p>
    <w:p w:rsidR="00000000" w:rsidDel="00000000" w:rsidP="00000000" w:rsidRDefault="00000000" w:rsidRPr="00000000" w14:paraId="0000003F">
      <w:pPr>
        <w:spacing w:after="240" w:before="240" w:lineRule="auto"/>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api-gateway</w:t>
      </w:r>
      <w:r w:rsidDel="00000000" w:rsidR="00000000" w:rsidRPr="00000000">
        <w:rPr>
          <w:rtl w:val="0"/>
        </w:rPr>
        <w:t xml:space="preserve">, create a service file to communicate with the new microservice via REST:</w:t>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NotificationClient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SendNotificationDto)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axios.post('http://localhost:3002/notifications/send',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9mulc94tqv" w:id="11"/>
      <w:bookmarkEnd w:id="11"/>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Keep each microservice </w:t>
      </w:r>
      <w:r w:rsidDel="00000000" w:rsidR="00000000" w:rsidRPr="00000000">
        <w:rPr>
          <w:b w:val="1"/>
          <w:bCs w:val="1"/>
          <w:rtl w:val="0"/>
        </w:rPr>
        <w:t xml:space="preserve">isolated and focused</w:t>
      </w:r>
      <w:r w:rsidDel="00000000" w:rsidR="00000000" w:rsidRPr="00000000">
        <w:rPr>
          <w:rtl w:val="0"/>
        </w:rPr>
        <w:t xml:space="preserve">.</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Do not share business logic across services without clear interfaces.</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REST for all real-time interactions</w:t>
      </w:r>
      <w:r w:rsidDel="00000000" w:rsidR="00000000" w:rsidRPr="00000000">
        <w:rPr>
          <w:rtl w:val="0"/>
        </w:rPr>
        <w:t xml:space="preserve"> between services.</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Always create a client wrapper in the gateway to keep service calls clean.</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nhu7nxybnmx0" w:id="12"/>
      <w:bookmarkEnd w:id="12"/>
      <w:r w:rsidDel="00000000" w:rsidR="00000000" w:rsidRPr="00000000">
        <w:rPr>
          <w:b w:val="1"/>
          <w:bCs w:val="1"/>
          <w:color w:val="000000"/>
          <w:sz w:val="26"/>
          <w:szCs w:val="26"/>
          <w:rtl w:val="0"/>
        </w:rPr>
        <w:t xml:space="preserve">Summary</w:t>
      </w:r>
    </w:p>
    <w:p w:rsidR="00000000" w:rsidDel="00000000" w:rsidP="00000000" w:rsidRDefault="00000000" w:rsidRPr="00000000" w14:paraId="0000004E">
      <w:pPr>
        <w:spacing w:after="240" w:before="240" w:lineRule="auto"/>
        <w:rPr/>
      </w:pPr>
      <w:r w:rsidDel="00000000" w:rsidR="00000000" w:rsidRPr="00000000">
        <w:rPr>
          <w:rtl w:val="0"/>
        </w:rPr>
        <w:t xml:space="preserve">This guide ensures that all new or existing logic is placed inside its correct microservice container and that no business logic ends up buried in the wrong location (like the API Gateway or a shared folder). Always check first if a service already exists before creating a new one.</w:t>
      </w:r>
    </w:p>
    <w:p w:rsidR="00000000" w:rsidDel="00000000" w:rsidP="00000000" w:rsidRDefault="00000000" w:rsidRPr="00000000" w14:paraId="0000004F">
      <w:pPr>
        <w:spacing w:after="240" w:before="240" w:lineRule="auto"/>
        <w:rPr/>
      </w:pPr>
      <w:r w:rsidDel="00000000" w:rsidR="00000000" w:rsidRPr="00000000">
        <w:rPr>
          <w:rtl w:val="0"/>
        </w:rPr>
        <w:t xml:space="preserve">Let the tech lead know if you're unsure where to move the code or whether it should be its own microservice.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