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smallCaps w:val="1"/>
          <w:color w:val="888888"/>
          <w:sz w:val="20"/>
          <w:szCs w:val="20"/>
          <w:rtl w:val="0"/>
        </w:rPr>
        <w:t xml:space="preserve">MARKETEQ BACKEND</w:t>
      </w:r>
      <w:r w:rsidDel="00000000" w:rsidR="00000000" w:rsidRPr="00000000">
        <w:rPr>
          <w:rtl w:val="0"/>
        </w:rPr>
      </w:r>
    </w:p>
    <w:p w:rsidR="00000000" w:rsidDel="00000000" w:rsidP="00000000" w:rsidRDefault="00000000" w:rsidRPr="00000000" w14:paraId="00000002">
      <w:pPr>
        <w:pBdr>
          <w:bottom w:color="2e75b6" w:space="4" w:sz="12" w:val="single"/>
        </w:pBdr>
        <w:spacing w:after="60" w:before="0" w:lineRule="auto"/>
        <w:rPr/>
      </w:pPr>
      <w:r w:rsidDel="00000000" w:rsidR="00000000" w:rsidRPr="00000000">
        <w:rPr>
          <w:rFonts w:ascii="Arial" w:cs="Arial" w:eastAsia="Arial" w:hAnsi="Arial"/>
          <w:b w:val="1"/>
          <w:bCs w:val="1"/>
          <w:color w:val="1b3a6b"/>
          <w:sz w:val="52"/>
          <w:szCs w:val="52"/>
          <w:rtl w:val="0"/>
        </w:rPr>
        <w:t xml:space="preserve">transaction-service</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rFonts w:ascii="Arial" w:cs="Arial" w:eastAsia="Arial" w:hAnsi="Arial"/>
          <w:b w:val="1"/>
          <w:bCs w:val="1"/>
          <w:color w:val="2e75b6"/>
          <w:sz w:val="32"/>
          <w:szCs w:val="32"/>
          <w:rtl w:val="0"/>
        </w:rPr>
        <w:t xml:space="preserve">Doc 00 — Service Overview &amp; Repo Placement</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Doc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Doc 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transaction-service Doc 00 – Doc 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Backend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marketeq-projects-nestjs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Folder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/apps/transaction-service/src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2025</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6b"/>
          <w:sz w:val="32"/>
          <w:szCs w:val="32"/>
          <w:rtl w:val="0"/>
        </w:rPr>
        <w:t xml:space="preserve">1. Purpose</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transaction-service is the immutable financial ledger for the Marketeq platform. It is the single source of truth for every financial event that occurs on the platform, regardless of direction, user type, contract type, or payment method.</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sz w:val="22"/>
          <w:szCs w:val="22"/>
          <w:rtl w:val="0"/>
        </w:rPr>
        <w:t xml:space="preserve">This service does not initiate payments. It does not process charges. It does not manage subscriptions. Its sole responsibility is to receive financial events from other services, record them as permanent ledger entries, and serve that data back to the UI and to other services that need to read financial history.</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pBdr>
          <w:left w:color="2e75b6" w:space="6" w:sz="12" w:val="single"/>
        </w:pBdr>
        <w:spacing w:after="120" w:before="120" w:lineRule="auto"/>
        <w:ind w:left="360" w:firstLine="0"/>
        <w:rPr/>
      </w:pPr>
      <w:r w:rsidDel="00000000" w:rsidR="00000000" w:rsidRPr="00000000">
        <w:rPr>
          <w:rFonts w:ascii="Arial" w:cs="Arial" w:eastAsia="Arial" w:hAnsi="Arial"/>
          <w:i w:val="1"/>
          <w:iCs w:val="1"/>
          <w:color w:val="444444"/>
          <w:sz w:val="20"/>
          <w:szCs w:val="20"/>
          <w:rtl w:val="0"/>
        </w:rPr>
        <w:t xml:space="preserve">Note: transaction-service is a read-optimized ledger. All writes originate from events published by billing-service, payout-service, and time-tracking-service. No user or admin directly writes to this service.</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tl w:val="0"/>
        </w:rPr>
      </w:r>
    </w:p>
    <w:p w:rsidR="00000000" w:rsidDel="00000000" w:rsidP="00000000" w:rsidRDefault="00000000" w:rsidRPr="00000000" w14:paraId="00000020">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6b"/>
          <w:sz w:val="32"/>
          <w:szCs w:val="32"/>
          <w:rtl w:val="0"/>
        </w:rPr>
        <w:t xml:space="preserve">2. Responsibilities</w:t>
      </w:r>
      <w:r w:rsidDel="00000000" w:rsidR="00000000" w:rsidRPr="00000000">
        <w:rPr>
          <w:rtl w:val="0"/>
        </w:rPr>
      </w:r>
    </w:p>
    <w:p w:rsidR="00000000" w:rsidDel="00000000" w:rsidP="00000000" w:rsidRDefault="00000000" w:rsidRPr="00000000" w14:paraId="0000002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2.1 Core Responsibilities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all inbound financial events as immutable ledger entries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 paginated, filterable, searchable transaction lists to the client-facing Transactions screen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 paginated, filterable invoice lists to the client-facing Invoices tab</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 individual transaction detail records to the Transaction Detail modal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 invoice detail references via Stripe hosted invoice integration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CSV and PDF export of transaction and invoice data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and record problem reports submitted against individual transactions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a context payload to the invitations-service share/invite modal when a transaction or invoice is shared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a backend audit log of all views, exports, and problem reports</w:t>
      </w:r>
    </w:p>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2.2 Out of Scope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Initiating or processing payments — owned by billing-service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payment methods — owned by billing-service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Subscription and plan management — owned by billing-service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earnings calculation — triggered by time-tracking-service, recorded here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payout scheduling and execution — owned by payout-service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balance display — owned by a future balance-service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Scheduled transaction cancellation — owned by billing-service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Ticketing system integration for problem reports — separate epic</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multi-account panel — future sprint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Crypto transactions — future sprint</w:t>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6b"/>
          <w:sz w:val="32"/>
          <w:szCs w:val="32"/>
          <w:rtl w:val="0"/>
        </w:rPr>
        <w:t xml:space="preserve">3. Where transaction-service Fits in the Platform</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sz w:val="22"/>
          <w:szCs w:val="22"/>
          <w:rtl w:val="0"/>
        </w:rPr>
        <w:t xml:space="preserve">The Marketeq platform is a NestJS microservices monorepo. transaction-service sits at the center of the financial data layer. It does not sit in the request path for payments — it only observes and records completed financial events via RabbitMQ message queues.</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3.1 Architecture Position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Next.js (Vercel)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Calls transaction-service API for transactions and invoices screens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api-gateway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Routes authenticated requests from frontend to 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Financial 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THIS SERVICE — immutable record of all financial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Payment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Processes charges, generates invoices, manages subscriptions — publishes events to 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Talent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Manages talent direct deposit schedules — publishes events to 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Time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time-tracking-service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Ingests tracked hours — publishes earning events to 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Ably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Pushes live transaction status updates to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Payments 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Processes card/ACH payments; generates hosted invoices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Accounting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QuickBooks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Invoice reconciliation and wire transfer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Share/Invite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invitations-service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Handles share modal when user shares a transaction or invoice</w:t>
            </w:r>
            <w:r w:rsidDel="00000000" w:rsidR="00000000" w:rsidRPr="00000000">
              <w:rPr>
                <w:rtl w:val="0"/>
              </w:rPr>
            </w:r>
          </w:p>
        </w:tc>
      </w:tr>
    </w:tbl>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3.2 Money Flow Overview</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sz w:val="22"/>
          <w:szCs w:val="22"/>
          <w:rtl w:val="0"/>
        </w:rPr>
        <w:t xml:space="preserve">Understanding the money flow is essential before working on this service. The flow is as follows:</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accepts a contract on the platform</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billing-service generates an invoice and schedules the first payment via Stripe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pays via Stripe (card, ACH, or wire) — funds go to the platform, not directly to the contractor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billing-service publishes a payment_completed event to RabbitMQ</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transaction-service consumes the event and writes an immutable transaction record to the ledger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transaction appears on the client-facing Transactions screen immediately</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time-tracking-service tracks contractor hours against the pre-funded contract balance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hours are tracked, time-tracking-service publishes earning_credited events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transaction-service records the earning as a ledger credit for the contractor</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Contractor initiates a payout via payout-service on their own schedule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payout-service publishes a payout_completed event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transaction-service records the payout as a ledger debit against the contractor balance</w:t>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pBdr>
          <w:left w:color="2e75b6" w:space="6" w:sz="12" w:val="single"/>
        </w:pBdr>
        <w:spacing w:after="120" w:before="120" w:lineRule="auto"/>
        <w:ind w:left="360" w:firstLine="0"/>
        <w:rPr/>
      </w:pPr>
      <w:r w:rsidDel="00000000" w:rsidR="00000000" w:rsidRPr="00000000">
        <w:rPr>
          <w:rFonts w:ascii="Arial" w:cs="Arial" w:eastAsia="Arial" w:hAnsi="Arial"/>
          <w:i w:val="1"/>
          <w:iCs w:val="1"/>
          <w:color w:val="444444"/>
          <w:sz w:val="20"/>
          <w:szCs w:val="20"/>
          <w:rtl w:val="0"/>
        </w:rPr>
        <w:t xml:space="preserve">Note: The client never pays the contractor directly. All payments go to the platform. Contractor earnings accrue based on tracked hours against a pre-funded balance. Payouts to the contractor bank account are entirely separate from client payment events.</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r>
    </w:p>
    <w:p w:rsidR="00000000" w:rsidDel="00000000" w:rsidP="00000000" w:rsidRDefault="00000000" w:rsidRPr="00000000" w14:paraId="00000070">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6b"/>
          <w:sz w:val="32"/>
          <w:szCs w:val="32"/>
          <w:rtl w:val="0"/>
        </w:rPr>
        <w:t xml:space="preserve">4. Who Uses This Service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000"/>
        <w:gridCol w:w="3060"/>
        <w:tblGridChange w:id="0">
          <w:tblGrid>
            <w:gridCol w:w="1800"/>
            <w:gridCol w:w="2500"/>
            <w:gridCol w:w="20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User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Transactions &amp;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Account owner only (current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Sees outgoing payments, invoices, refunds, fees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Talent /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Earnings &amp; Payouts (future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Account owner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Sees incoming earnings and payout history — separate screen, same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Client account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Login as user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No separate admin UI in this sprint — admins log into user accounts to view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Accountant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Transactions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Billing sub-permission (future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Will be granted export-only access when permissions system is built</w:t>
            </w:r>
            <w:r w:rsidDel="00000000" w:rsidR="00000000" w:rsidRPr="00000000">
              <w:rPr>
                <w:rtl w:val="0"/>
              </w:rPr>
            </w:r>
          </w:p>
        </w:tc>
      </w:tr>
    </w:tbl>
    <w:p w:rsidR="00000000" w:rsidDel="00000000" w:rsidP="00000000" w:rsidRDefault="00000000" w:rsidRPr="00000000" w14:paraId="00000085">
      <w:pPr>
        <w:spacing w:after="80" w:before="80" w:lineRule="auto"/>
        <w:rPr/>
      </w:pPr>
      <w:r w:rsidDel="00000000" w:rsidR="00000000" w:rsidRPr="00000000">
        <w:rPr>
          <w:rtl w:val="0"/>
        </w:rPr>
      </w:r>
    </w:p>
    <w:p w:rsidR="00000000" w:rsidDel="00000000" w:rsidP="00000000" w:rsidRDefault="00000000" w:rsidRPr="00000000" w14:paraId="00000086">
      <w:pPr>
        <w:pBdr>
          <w:left w:color="2e75b6" w:space="6" w:sz="12" w:val="single"/>
        </w:pBdr>
        <w:spacing w:after="120" w:before="120" w:lineRule="auto"/>
        <w:ind w:left="360" w:firstLine="0"/>
        <w:rPr/>
      </w:pPr>
      <w:r w:rsidDel="00000000" w:rsidR="00000000" w:rsidRPr="00000000">
        <w:rPr>
          <w:rFonts w:ascii="Arial" w:cs="Arial" w:eastAsia="Arial" w:hAnsi="Arial"/>
          <w:i w:val="1"/>
          <w:iCs w:val="1"/>
          <w:color w:val="444444"/>
          <w:sz w:val="20"/>
          <w:szCs w:val="20"/>
          <w:rtl w:val="0"/>
        </w:rPr>
        <w:t xml:space="preserve">Note: The Transactions &amp; Invoices screen is client-facing only. Talent has a completely separate Earnings &amp; Payouts screen which will be documented in a future sprint. Both screens read from transaction-service but are filtered by user type and transaction direction.</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tl w:val="0"/>
        </w:rPr>
      </w:r>
    </w:p>
    <w:p w:rsidR="00000000" w:rsidDel="00000000" w:rsidP="00000000" w:rsidRDefault="00000000" w:rsidRPr="00000000" w14:paraId="00000088">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6b"/>
          <w:sz w:val="32"/>
          <w:szCs w:val="32"/>
          <w:rtl w:val="0"/>
        </w:rPr>
        <w:t xml:space="preserve">5. Service Dependencies</w:t>
      </w:r>
      <w:r w:rsidDel="00000000" w:rsidR="00000000" w:rsidRPr="00000000">
        <w:rPr>
          <w:rtl w:val="0"/>
        </w:rPr>
      </w:r>
    </w:p>
    <w:p w:rsidR="00000000" w:rsidDel="00000000" w:rsidP="00000000" w:rsidRDefault="00000000" w:rsidRPr="00000000" w14:paraId="0000008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5.1 Upstream Dependencies (Services that publish events transaction-service consumes)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4660"/>
        <w:tblGridChange w:id="0">
          <w:tblGrid>
            <w:gridCol w:w="2200"/>
            <w:gridCol w:w="2500"/>
            <w:gridCol w:w="4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Event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payment_completed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Client payment processed successfully — creates transaction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payment_failed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Client payment failed — updates transaction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refund_issued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Refund processed — creates refund transaction record with parent_transaction_id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invoice_generated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New invoice created — creates invoice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invoice_status_updated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Invoice status changed — updates invoice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subscription_charged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Recurring subscription billed — creates membership transaction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wire_transfer_confirmed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Wire transfer confirmed via Airtable integration in checkout service — creates wire transaction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time-tracking-service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earning_credited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Contractor tracked hours against funded balance — creates earning ledger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payout_initiated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Contractor initiated payout — creates payout pending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payout_completed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Payout sent to contractor bank — updates payout record to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payout_failed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Payout to contractor bank failed — updates payout record to failed</w:t>
            </w:r>
            <w:r w:rsidDel="00000000" w:rsidR="00000000" w:rsidRPr="00000000">
              <w:rPr>
                <w:rtl w:val="0"/>
              </w:rPr>
            </w:r>
          </w:p>
        </w:tc>
      </w:tr>
    </w:tbl>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5.2 Downstream Dependencies (Services transaction-service calls or publishes to)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4660"/>
        <w:tblGridChange w:id="0">
          <w:tblGrid>
            <w:gridCol w:w="2200"/>
            <w:gridCol w:w="2500"/>
            <w:gridCol w:w="4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GET /v1/invoices/:stripe_invoice_id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Retrieves Stripe-hosted invoice URL and PDF URL for invoice detail 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Ably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Publish to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Publishes real-time transaction status updates to frontend when status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invitations-service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Event / context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Passes shareable item context (transaction or invoice summary) to the share/invite 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api-gateway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Inbound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All frontend requests arrive via api-gateway with bearer token auth</w:t>
            </w:r>
            <w:r w:rsidDel="00000000" w:rsidR="00000000" w:rsidRPr="00000000">
              <w:rPr>
                <w:rtl w:val="0"/>
              </w:rPr>
            </w:r>
          </w:p>
        </w:tc>
      </w:tr>
    </w:tbl>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5.3 Infrastructure Dependencies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860"/>
        <w:gridCol w:w="2000"/>
        <w:tblGridChange w:id="0">
          <w:tblGrid>
            <w:gridCol w:w="2500"/>
            <w:gridCol w:w="48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PostgreSQL (Supabase)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Primary database — all transaction and invoice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RabbitMQ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Message queue — consumes events from upstream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Query result caching for transaction list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Ably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Real-time status push to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Stripe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Hosted invoice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bl>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6b"/>
          <w:sz w:val="32"/>
          <w:szCs w:val="32"/>
          <w:rtl w:val="0"/>
        </w:rPr>
        <w:t xml:space="preserve">6. Data &amp; Retention Policy</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 history is retained indefinitely. There is no maximum lookback limit.</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transaction records are immutable once status reaches paid, succeeded, or refunded.</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Corrections are handled via new ledger_correction transaction entries only. Original records are never edited.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parent_transaction_id foreign key links refund and correction records back to their originating transaction.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backend audit log records all views, exports, and problem report submissions.</w:t>
      </w:r>
    </w:p>
    <w:p w:rsidR="00000000" w:rsidDel="00000000" w:rsidP="00000000" w:rsidRDefault="00000000" w:rsidRPr="00000000" w14:paraId="000000DA">
      <w:pPr>
        <w:spacing w:after="80" w:before="80" w:lineRule="auto"/>
        <w:rPr/>
      </w:pPr>
      <w:r w:rsidDel="00000000" w:rsidR="00000000" w:rsidRPr="00000000">
        <w:rPr>
          <w:rtl w:val="0"/>
        </w:rPr>
      </w:r>
    </w:p>
    <w:p w:rsidR="00000000" w:rsidDel="00000000" w:rsidP="00000000" w:rsidRDefault="00000000" w:rsidRPr="00000000" w14:paraId="000000DB">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6b"/>
          <w:sz w:val="32"/>
          <w:szCs w:val="32"/>
          <w:rtl w:val="0"/>
        </w:rPr>
        <w:t xml:space="preserve">7. Folder Placement &amp; Repo Structure</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sz w:val="22"/>
          <w:szCs w:val="22"/>
          <w:rtl w:val="0"/>
        </w:rPr>
        <w:t xml:space="preserve">Per the Marketeq monorepo Folder Structure Policy, all code for this service must live under:</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/apps/transaction-service/src</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Arial" w:cs="Arial" w:eastAsia="Arial" w:hAnsi="Arial"/>
          <w:sz w:val="22"/>
          <w:szCs w:val="22"/>
          <w:rtl w:val="0"/>
        </w:rPr>
        <w:t xml:space="preserve">The canonical folder layout for this service is:</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tl w:val="0"/>
        </w:rPr>
      </w:r>
    </w:p>
    <w:p w:rsidR="00000000" w:rsidDel="00000000" w:rsidP="00000000" w:rsidRDefault="00000000" w:rsidRPr="00000000" w14:paraId="000000E2">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apps/transaction-service/</w:t>
      </w:r>
      <w:r w:rsidDel="00000000" w:rsidR="00000000" w:rsidRPr="00000000">
        <w:rPr>
          <w:rtl w:val="0"/>
        </w:rPr>
      </w:r>
    </w:p>
    <w:p w:rsidR="00000000" w:rsidDel="00000000" w:rsidP="00000000" w:rsidRDefault="00000000" w:rsidRPr="00000000" w14:paraId="000000E3">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Dockerfile</w:t>
      </w:r>
      <w:r w:rsidDel="00000000" w:rsidR="00000000" w:rsidRPr="00000000">
        <w:rPr>
          <w:rtl w:val="0"/>
        </w:rPr>
      </w:r>
    </w:p>
    <w:p w:rsidR="00000000" w:rsidDel="00000000" w:rsidP="00000000" w:rsidRDefault="00000000" w:rsidRPr="00000000" w14:paraId="000000E4">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Supabase.yaml</w:t>
      </w:r>
      <w:r w:rsidDel="00000000" w:rsidR="00000000" w:rsidRPr="00000000">
        <w:rPr>
          <w:rtl w:val="0"/>
        </w:rPr>
      </w:r>
    </w:p>
    <w:p w:rsidR="00000000" w:rsidDel="00000000" w:rsidP="00000000" w:rsidRDefault="00000000" w:rsidRPr="00000000" w14:paraId="000000E5">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package.json</w:t>
      </w:r>
      <w:r w:rsidDel="00000000" w:rsidR="00000000" w:rsidRPr="00000000">
        <w:rPr>
          <w:rtl w:val="0"/>
        </w:rPr>
      </w:r>
    </w:p>
    <w:p w:rsidR="00000000" w:rsidDel="00000000" w:rsidP="00000000" w:rsidRDefault="00000000" w:rsidRPr="00000000" w14:paraId="000000E6">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src/</w:t>
      </w:r>
      <w:r w:rsidDel="00000000" w:rsidR="00000000" w:rsidRPr="00000000">
        <w:rPr>
          <w:rtl w:val="0"/>
        </w:rPr>
      </w:r>
    </w:p>
    <w:p w:rsidR="00000000" w:rsidDel="00000000" w:rsidP="00000000" w:rsidRDefault="00000000" w:rsidRPr="00000000" w14:paraId="000000E7">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app.module.ts</w:t>
      </w:r>
      <w:r w:rsidDel="00000000" w:rsidR="00000000" w:rsidRPr="00000000">
        <w:rPr>
          <w:rtl w:val="0"/>
        </w:rPr>
      </w:r>
    </w:p>
    <w:p w:rsidR="00000000" w:rsidDel="00000000" w:rsidP="00000000" w:rsidRDefault="00000000" w:rsidRPr="00000000" w14:paraId="000000E8">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main.ts</w:t>
      </w:r>
      <w:r w:rsidDel="00000000" w:rsidR="00000000" w:rsidRPr="00000000">
        <w:rPr>
          <w:rtl w:val="0"/>
        </w:rPr>
      </w:r>
    </w:p>
    <w:p w:rsidR="00000000" w:rsidDel="00000000" w:rsidP="00000000" w:rsidRDefault="00000000" w:rsidRPr="00000000" w14:paraId="000000E9">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controllers/</w:t>
      </w:r>
      <w:r w:rsidDel="00000000" w:rsidR="00000000" w:rsidRPr="00000000">
        <w:rPr>
          <w:rtl w:val="0"/>
        </w:rPr>
      </w:r>
    </w:p>
    <w:p w:rsidR="00000000" w:rsidDel="00000000" w:rsidP="00000000" w:rsidRDefault="00000000" w:rsidRPr="00000000" w14:paraId="000000EA">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transaction.controller.ts</w:t>
      </w:r>
      <w:r w:rsidDel="00000000" w:rsidR="00000000" w:rsidRPr="00000000">
        <w:rPr>
          <w:rtl w:val="0"/>
        </w:rPr>
      </w:r>
    </w:p>
    <w:p w:rsidR="00000000" w:rsidDel="00000000" w:rsidP="00000000" w:rsidRDefault="00000000" w:rsidRPr="00000000" w14:paraId="000000EB">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invoice.controller.ts</w:t>
      </w:r>
      <w:r w:rsidDel="00000000" w:rsidR="00000000" w:rsidRPr="00000000">
        <w:rPr>
          <w:rtl w:val="0"/>
        </w:rPr>
      </w:r>
    </w:p>
    <w:p w:rsidR="00000000" w:rsidDel="00000000" w:rsidP="00000000" w:rsidRDefault="00000000" w:rsidRPr="00000000" w14:paraId="000000EC">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export.controller.ts</w:t>
      </w:r>
      <w:r w:rsidDel="00000000" w:rsidR="00000000" w:rsidRPr="00000000">
        <w:rPr>
          <w:rtl w:val="0"/>
        </w:rPr>
      </w:r>
    </w:p>
    <w:p w:rsidR="00000000" w:rsidDel="00000000" w:rsidP="00000000" w:rsidRDefault="00000000" w:rsidRPr="00000000" w14:paraId="000000ED">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services/</w:t>
      </w:r>
      <w:r w:rsidDel="00000000" w:rsidR="00000000" w:rsidRPr="00000000">
        <w:rPr>
          <w:rtl w:val="0"/>
        </w:rPr>
      </w:r>
    </w:p>
    <w:p w:rsidR="00000000" w:rsidDel="00000000" w:rsidP="00000000" w:rsidRDefault="00000000" w:rsidRPr="00000000" w14:paraId="000000EE">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transaction.service.ts</w:t>
      </w:r>
      <w:r w:rsidDel="00000000" w:rsidR="00000000" w:rsidRPr="00000000">
        <w:rPr>
          <w:rtl w:val="0"/>
        </w:rPr>
      </w:r>
    </w:p>
    <w:p w:rsidR="00000000" w:rsidDel="00000000" w:rsidP="00000000" w:rsidRDefault="00000000" w:rsidRPr="00000000" w14:paraId="000000EF">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invoice.service.ts</w:t>
      </w:r>
      <w:r w:rsidDel="00000000" w:rsidR="00000000" w:rsidRPr="00000000">
        <w:rPr>
          <w:rtl w:val="0"/>
        </w:rPr>
      </w:r>
    </w:p>
    <w:p w:rsidR="00000000" w:rsidDel="00000000" w:rsidP="00000000" w:rsidRDefault="00000000" w:rsidRPr="00000000" w14:paraId="000000F0">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export.service.ts</w:t>
      </w:r>
      <w:r w:rsidDel="00000000" w:rsidR="00000000" w:rsidRPr="00000000">
        <w:rPr>
          <w:rtl w:val="0"/>
        </w:rPr>
      </w:r>
    </w:p>
    <w:p w:rsidR="00000000" w:rsidDel="00000000" w:rsidP="00000000" w:rsidRDefault="00000000" w:rsidRPr="00000000" w14:paraId="000000F1">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audit.service.ts</w:t>
      </w:r>
      <w:r w:rsidDel="00000000" w:rsidR="00000000" w:rsidRPr="00000000">
        <w:rPr>
          <w:rtl w:val="0"/>
        </w:rPr>
      </w:r>
    </w:p>
    <w:p w:rsidR="00000000" w:rsidDel="00000000" w:rsidP="00000000" w:rsidRDefault="00000000" w:rsidRPr="00000000" w14:paraId="000000F2">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share.service.ts</w:t>
      </w:r>
      <w:r w:rsidDel="00000000" w:rsidR="00000000" w:rsidRPr="00000000">
        <w:rPr>
          <w:rtl w:val="0"/>
        </w:rPr>
      </w:r>
    </w:p>
    <w:p w:rsidR="00000000" w:rsidDel="00000000" w:rsidP="00000000" w:rsidRDefault="00000000" w:rsidRPr="00000000" w14:paraId="000000F3">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consumers/</w:t>
      </w:r>
      <w:r w:rsidDel="00000000" w:rsidR="00000000" w:rsidRPr="00000000">
        <w:rPr>
          <w:rtl w:val="0"/>
        </w:rPr>
      </w:r>
    </w:p>
    <w:p w:rsidR="00000000" w:rsidDel="00000000" w:rsidP="00000000" w:rsidRDefault="00000000" w:rsidRPr="00000000" w14:paraId="000000F4">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billing.consumer.ts</w:t>
      </w:r>
      <w:r w:rsidDel="00000000" w:rsidR="00000000" w:rsidRPr="00000000">
        <w:rPr>
          <w:rtl w:val="0"/>
        </w:rPr>
      </w:r>
    </w:p>
    <w:p w:rsidR="00000000" w:rsidDel="00000000" w:rsidP="00000000" w:rsidRDefault="00000000" w:rsidRPr="00000000" w14:paraId="000000F5">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timetracking.consumer.ts</w:t>
      </w:r>
      <w:r w:rsidDel="00000000" w:rsidR="00000000" w:rsidRPr="00000000">
        <w:rPr>
          <w:rtl w:val="0"/>
        </w:rPr>
      </w:r>
    </w:p>
    <w:p w:rsidR="00000000" w:rsidDel="00000000" w:rsidP="00000000" w:rsidRDefault="00000000" w:rsidRPr="00000000" w14:paraId="000000F6">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payout.consumer.ts</w:t>
      </w:r>
      <w:r w:rsidDel="00000000" w:rsidR="00000000" w:rsidRPr="00000000">
        <w:rPr>
          <w:rtl w:val="0"/>
        </w:rPr>
      </w:r>
    </w:p>
    <w:p w:rsidR="00000000" w:rsidDel="00000000" w:rsidP="00000000" w:rsidRDefault="00000000" w:rsidRPr="00000000" w14:paraId="000000F7">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dto/</w:t>
      </w:r>
      <w:r w:rsidDel="00000000" w:rsidR="00000000" w:rsidRPr="00000000">
        <w:rPr>
          <w:rtl w:val="0"/>
        </w:rPr>
      </w:r>
    </w:p>
    <w:p w:rsidR="00000000" w:rsidDel="00000000" w:rsidP="00000000" w:rsidRDefault="00000000" w:rsidRPr="00000000" w14:paraId="000000F8">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transaction.dto.ts</w:t>
      </w:r>
      <w:r w:rsidDel="00000000" w:rsidR="00000000" w:rsidRPr="00000000">
        <w:rPr>
          <w:rtl w:val="0"/>
        </w:rPr>
      </w:r>
    </w:p>
    <w:p w:rsidR="00000000" w:rsidDel="00000000" w:rsidP="00000000" w:rsidRDefault="00000000" w:rsidRPr="00000000" w14:paraId="000000F9">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invoice.dto.ts</w:t>
      </w:r>
      <w:r w:rsidDel="00000000" w:rsidR="00000000" w:rsidRPr="00000000">
        <w:rPr>
          <w:rtl w:val="0"/>
        </w:rPr>
      </w:r>
    </w:p>
    <w:p w:rsidR="00000000" w:rsidDel="00000000" w:rsidP="00000000" w:rsidRDefault="00000000" w:rsidRPr="00000000" w14:paraId="000000FA">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filter.dto.ts</w:t>
      </w:r>
      <w:r w:rsidDel="00000000" w:rsidR="00000000" w:rsidRPr="00000000">
        <w:rPr>
          <w:rtl w:val="0"/>
        </w:rPr>
      </w:r>
    </w:p>
    <w:p w:rsidR="00000000" w:rsidDel="00000000" w:rsidP="00000000" w:rsidRDefault="00000000" w:rsidRPr="00000000" w14:paraId="000000FB">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export.dto.ts</w:t>
      </w:r>
      <w:r w:rsidDel="00000000" w:rsidR="00000000" w:rsidRPr="00000000">
        <w:rPr>
          <w:rtl w:val="0"/>
        </w:rPr>
      </w:r>
    </w:p>
    <w:p w:rsidR="00000000" w:rsidDel="00000000" w:rsidP="00000000" w:rsidRDefault="00000000" w:rsidRPr="00000000" w14:paraId="000000FC">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entities/</w:t>
      </w:r>
      <w:r w:rsidDel="00000000" w:rsidR="00000000" w:rsidRPr="00000000">
        <w:rPr>
          <w:rtl w:val="0"/>
        </w:rPr>
      </w:r>
    </w:p>
    <w:p w:rsidR="00000000" w:rsidDel="00000000" w:rsidP="00000000" w:rsidRDefault="00000000" w:rsidRPr="00000000" w14:paraId="000000FD">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transaction.entity.ts</w:t>
      </w:r>
      <w:r w:rsidDel="00000000" w:rsidR="00000000" w:rsidRPr="00000000">
        <w:rPr>
          <w:rtl w:val="0"/>
        </w:rPr>
      </w:r>
    </w:p>
    <w:p w:rsidR="00000000" w:rsidDel="00000000" w:rsidP="00000000" w:rsidRDefault="00000000" w:rsidRPr="00000000" w14:paraId="000000FE">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invoice.entity.ts</w:t>
      </w:r>
      <w:r w:rsidDel="00000000" w:rsidR="00000000" w:rsidRPr="00000000">
        <w:rPr>
          <w:rtl w:val="0"/>
        </w:rPr>
      </w:r>
    </w:p>
    <w:p w:rsidR="00000000" w:rsidDel="00000000" w:rsidP="00000000" w:rsidRDefault="00000000" w:rsidRPr="00000000" w14:paraId="000000FF">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transaction-detail.entity.ts</w:t>
      </w:r>
      <w:r w:rsidDel="00000000" w:rsidR="00000000" w:rsidRPr="00000000">
        <w:rPr>
          <w:rtl w:val="0"/>
        </w:rPr>
      </w:r>
    </w:p>
    <w:p w:rsidR="00000000" w:rsidDel="00000000" w:rsidP="00000000" w:rsidRDefault="00000000" w:rsidRPr="00000000" w14:paraId="00000100">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payment-method.entity.ts</w:t>
      </w:r>
      <w:r w:rsidDel="00000000" w:rsidR="00000000" w:rsidRPr="00000000">
        <w:rPr>
          <w:rtl w:val="0"/>
        </w:rPr>
      </w:r>
    </w:p>
    <w:p w:rsidR="00000000" w:rsidDel="00000000" w:rsidP="00000000" w:rsidRDefault="00000000" w:rsidRPr="00000000" w14:paraId="00000101">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 contract.entity.ts</w:t>
      </w:r>
      <w:r w:rsidDel="00000000" w:rsidR="00000000" w:rsidRPr="00000000">
        <w:rPr>
          <w:rtl w:val="0"/>
        </w:rPr>
      </w:r>
    </w:p>
    <w:p w:rsidR="00000000" w:rsidDel="00000000" w:rsidP="00000000" w:rsidRDefault="00000000" w:rsidRPr="00000000" w14:paraId="00000102">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config/</w:t>
      </w:r>
      <w:r w:rsidDel="00000000" w:rsidR="00000000" w:rsidRPr="00000000">
        <w:rPr>
          <w:rtl w:val="0"/>
        </w:rPr>
      </w:r>
    </w:p>
    <w:p w:rsidR="00000000" w:rsidDel="00000000" w:rsidP="00000000" w:rsidRDefault="00000000" w:rsidRPr="00000000" w14:paraId="00000103">
      <w:pPr>
        <w:spacing w:after="60" w:before="60" w:lineRule="auto"/>
        <w:ind w:left="720" w:firstLine="0"/>
        <w:rPr/>
      </w:pPr>
      <w:r w:rsidDel="00000000" w:rsidR="00000000" w:rsidRPr="00000000">
        <w:rPr>
          <w:rFonts w:ascii="Courier New" w:cs="Courier New" w:eastAsia="Courier New" w:hAnsi="Courier New"/>
          <w:color w:val="1e3a5f"/>
          <w:sz w:val="18"/>
          <w:szCs w:val="18"/>
          <w:rtl w:val="0"/>
        </w:rPr>
        <w:t xml:space="preserve">        └── transaction.config.ts</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tl w:val="0"/>
        </w:rPr>
      </w:r>
    </w:p>
    <w:p w:rsidR="00000000" w:rsidDel="00000000" w:rsidP="00000000" w:rsidRDefault="00000000" w:rsidRPr="00000000" w14:paraId="00000105">
      <w:pPr>
        <w:pBdr>
          <w:left w:color="2e75b6" w:space="6" w:sz="12" w:val="single"/>
        </w:pBdr>
        <w:spacing w:after="120" w:before="120" w:lineRule="auto"/>
        <w:ind w:left="360" w:firstLine="0"/>
        <w:rPr/>
      </w:pPr>
      <w:r w:rsidDel="00000000" w:rsidR="00000000" w:rsidRPr="00000000">
        <w:rPr>
          <w:rFonts w:ascii="Arial" w:cs="Arial" w:eastAsia="Arial" w:hAnsi="Arial"/>
          <w:i w:val="1"/>
          <w:iCs w:val="1"/>
          <w:color w:val="444444"/>
          <w:sz w:val="20"/>
          <w:szCs w:val="20"/>
          <w:rtl w:val="0"/>
        </w:rPr>
        <w:t xml:space="preserve">Note: Never create or use a /src directory at the repo root. Never import from one service's src/ into another service. Shared types and utilities belong in /shared.</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tl w:val="0"/>
        </w:rPr>
      </w:r>
    </w:p>
    <w:p w:rsidR="00000000" w:rsidDel="00000000" w:rsidP="00000000" w:rsidRDefault="00000000" w:rsidRPr="00000000" w14:paraId="00000107">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6b"/>
          <w:sz w:val="32"/>
          <w:szCs w:val="32"/>
          <w:rtl w:val="0"/>
        </w:rPr>
        <w:t xml:space="preserve">8. Document Series — transaction-service</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sz w:val="22"/>
          <w:szCs w:val="22"/>
          <w:rtl w:val="0"/>
        </w:rPr>
        <w:t xml:space="preserve">This document is Doc 00 in the transaction-service documentation series. The complete series is listed below. Each document covers exactly one topic. Do not duplicate content between documents — link to earlier docs instead.</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1400"/>
        <w:gridCol w:w="3960"/>
        <w:tblGridChange w:id="0">
          <w:tblGrid>
            <w:gridCol w:w="1200"/>
            <w:gridCol w:w="2800"/>
            <w:gridCol w:w="14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Doc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Doc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Service Overview &amp; Repo 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This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Purpose, architecture position, dependencies, folder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Doc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Docker &amp; Runtime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Dockerfile, environment variables, health check, Supabase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Doc 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Folder Structure &amp; Bootstrapping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app.module.ts, main.ts, module wiring, configuration 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Doc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Data Models &amp; DTOs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All entities, enums, constraints, DTOs, class-validator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Doc 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API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All routes, guards, request/response schemas, pagination, error shapes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Doc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Integrations &amp;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RabbitMQ consumers, Stripe invoice retrieval, Ably realtime, Redis cache, invitations-service share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Doc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Observability &amp;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/health, /ready, logging, metrics, alerts, SLOs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Doc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QA &amp; 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Test cases, seed scripts, fixtures, Postman collection</w:t>
            </w:r>
            <w:r w:rsidDel="00000000" w:rsidR="00000000" w:rsidRPr="00000000">
              <w:rPr>
                <w:rtl w:val="0"/>
              </w:rPr>
            </w:r>
          </w:p>
        </w:tc>
      </w:tr>
    </w:tbl>
    <w:p w:rsidR="00000000" w:rsidDel="00000000" w:rsidP="00000000" w:rsidRDefault="00000000" w:rsidRPr="00000000" w14:paraId="0000012E">
      <w:pPr>
        <w:spacing w:after="80" w:before="80" w:lineRule="auto"/>
        <w:rPr/>
      </w:pPr>
      <w:r w:rsidDel="00000000" w:rsidR="00000000" w:rsidRPr="00000000">
        <w:rPr>
          <w:rtl w:val="0"/>
        </w:rPr>
      </w:r>
    </w:p>
    <w:p w:rsidR="00000000" w:rsidDel="00000000" w:rsidP="00000000" w:rsidRDefault="00000000" w:rsidRPr="00000000" w14:paraId="0000012F">
      <w:pPr>
        <w:pBdr>
          <w:left w:color="2e75b6" w:space="6" w:sz="12" w:val="single"/>
        </w:pBdr>
        <w:spacing w:after="120" w:before="120" w:lineRule="auto"/>
        <w:ind w:left="360" w:firstLine="0"/>
        <w:rPr/>
      </w:pPr>
      <w:r w:rsidDel="00000000" w:rsidR="00000000" w:rsidRPr="00000000">
        <w:rPr>
          <w:rFonts w:ascii="Arial" w:cs="Arial" w:eastAsia="Arial" w:hAnsi="Arial"/>
          <w:i w:val="1"/>
          <w:iCs w:val="1"/>
          <w:color w:val="444444"/>
          <w:sz w:val="20"/>
          <w:szCs w:val="20"/>
          <w:rtl w:val="0"/>
        </w:rPr>
        <w:t xml:space="preserve">Note: When new functionality is added to this service, create the next numbered doc (e.g., Doc 08) rather than expanding existing documents.</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tl w:val="0"/>
        </w:rPr>
      </w:r>
    </w:p>
    <w:p w:rsidR="00000000" w:rsidDel="00000000" w:rsidP="00000000" w:rsidRDefault="00000000" w:rsidRPr="00000000" w14:paraId="00000131">
      <w:pPr>
        <w:pStyle w:val="Heading1"/>
        <w:pBdr>
          <w:bottom w:color="2e75b6" w:space="1" w:sz="6" w:val="single"/>
        </w:pBdr>
        <w:spacing w:after="120" w:before="360" w:lineRule="auto"/>
        <w:rPr/>
      </w:pPr>
      <w:r w:rsidDel="00000000" w:rsidR="00000000" w:rsidRPr="00000000">
        <w:rPr>
          <w:rFonts w:ascii="Arial" w:cs="Arial" w:eastAsia="Arial" w:hAnsi="Arial"/>
          <w:b w:val="1"/>
          <w:bCs w:val="1"/>
          <w:color w:val="1b3a6b"/>
          <w:sz w:val="32"/>
          <w:szCs w:val="32"/>
          <w:rtl w:val="0"/>
        </w:rPr>
        <w:t xml:space="preserve">9. Quick Reference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marketeq-projects-nestjs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/apps/transaction-service/src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Primary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PostgreSQL on Supabase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Message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RabbitMQ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Ably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External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Stripe (invoice retrieval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Bearer token via api-gateway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Health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GET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API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/v1/transactions, /v1/invoices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User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Client-facing (this sprint); Talent-facing (future Earnings &amp; Payouts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Data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Unlimited — no retention boundary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Immutability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Records locked after status: paid, succeeded, refunded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Next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Doc 01 — Docker &amp; Runtime Setup</w:t>
            </w:r>
            <w:r w:rsidDel="00000000" w:rsidR="00000000" w:rsidRPr="00000000">
              <w:rPr>
                <w:rtl w:val="0"/>
              </w:rPr>
            </w:r>
          </w:p>
        </w:tc>
      </w:tr>
    </w:tbl>
    <w:p w:rsidR="00000000" w:rsidDel="00000000" w:rsidP="00000000" w:rsidRDefault="00000000" w:rsidRPr="00000000" w14:paraId="00000152">
      <w:pPr>
        <w:spacing w:after="80" w:before="8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Bdr>
        <w:top w:color="2e75b6" w:space="4" w:sz="6" w:val="single"/>
      </w:pBdr>
      <w:rPr/>
    </w:pPr>
    <w:r w:rsidDel="00000000" w:rsidR="00000000" w:rsidRPr="00000000">
      <w:rPr>
        <w:rFonts w:ascii="Arial" w:cs="Arial" w:eastAsia="Arial" w:hAnsi="Arial"/>
        <w:color w:val="888888"/>
        <w:sz w:val="16"/>
        <w:szCs w:val="16"/>
        <w:rtl w:val="0"/>
      </w:rPr>
      <w:t xml:space="preserve">CONFIDENTIAL — Internal Technical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Bdr>
        <w:bottom w:color="2e75b6" w:space="4" w:sz="6" w:val="single"/>
      </w:pBdr>
      <w:rPr/>
    </w:pPr>
    <w:r w:rsidDel="00000000" w:rsidR="00000000" w:rsidRPr="00000000">
      <w:rPr>
        <w:rFonts w:ascii="Arial" w:cs="Arial" w:eastAsia="Arial" w:hAnsi="Arial"/>
        <w:color w:val="888888"/>
        <w:sz w:val="18"/>
        <w:szCs w:val="18"/>
        <w:rtl w:val="0"/>
      </w:rPr>
      <w:t xml:space="preserve">Marketeq — transaction-service   |   Doc 00 — Service Overview &amp; Repo Placement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