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F6A304"/>
          <w:sz w:val="22"/>
          <w:szCs w:val="22"/>
        </w:rPr>
        <w:t xml:space="preserve">NBC / GREEN VILLAGE</w:t>
      </w:r>
    </w:p>
    <w:p>
      <w:pPr>
        <w:spacing w:after="200"/>
      </w:pPr>
      <w:r>
        <w:rPr>
          <w:b/>
          <w:bCs/>
          <w:color w:val="229D96"/>
          <w:sz w:val="44"/>
          <w:szCs w:val="44"/>
        </w:rPr>
        <w:t xml:space="preserve">Bouwplan: Drankvoorraad Dashboard (MVP)</w:t>
      </w:r>
    </w:p>
    <w:p>
      <w:pPr>
        <w:spacing w:after="400"/>
      </w:pPr>
      <w:r>
        <w:rPr>
          <w:i/>
          <w:iCs/>
          <w:color w:val="555555"/>
          <w:sz w:val="20"/>
          <w:szCs w:val="20"/>
        </w:rPr>
        <w:t xml:space="preserve">Briefing voor Claude Code — versie 1.0, juli 2026</w:t>
      </w:r>
    </w:p>
    <w:p>
      <w:pPr>
        <w:pBdr>
          <w:bottom w:val="single" w:color="F6A304" w:sz="6"/>
        </w:pBdr>
        <w:spacing w:after="200" w:before="200"/>
      </w:pPr>
    </w:p>
    <w:p>
      <w:pPr>
        <w:spacing w:after="150"/>
      </w:pPr>
      <w:r>
        <w:rPr>
          <w:color w:val="1A1A1A"/>
          <w:sz w:val="21"/>
          <w:szCs w:val="21"/>
        </w:rPr>
        <w:t xml:space="preserve">Dit document is een overdraagbare briefing. Plak de inhoud (of upload dit bestand) in een nieuwe Claude Code-sessie om de MVP te laten bouwen. Het bevat scope, datamodel, schermen, berekeningen en een fasering richting een toekomstige externe samenwerking.</w:t>
      </w:r>
    </w:p>
    <w:p>
      <w:r>
        <w:br w:type="page"/>
      </w:r>
    </w:p>
    <w:p>
      <w:pPr>
        <w:pStyle w:val="Heading1"/>
        <w:spacing w:after="200" w:before="400"/>
      </w:pPr>
      <w:r>
        <w:rPr>
          <w:b/>
          <w:bCs/>
          <w:color w:val="229D96"/>
          <w:sz w:val="32"/>
          <w:szCs w:val="32"/>
        </w:rPr>
        <w:t xml:space="preserve">1. Context en doel</w:t>
      </w:r>
    </w:p>
    <w:p>
      <w:pPr>
        <w:spacing w:after="150"/>
      </w:pPr>
      <w:r>
        <w:rPr>
          <w:color w:val="1A1A1A"/>
          <w:sz w:val="21"/>
          <w:szCs w:val="21"/>
        </w:rPr>
        <w:t xml:space="preserve">NBC en Green Village zijn twee eventlocaties (Nieuwegein) die onder één bedrijf opereren. Er is een uitgebreide specificatie opgesteld voor een volledig drankvoorraadbeheersysteem (barcode scanning, offline-first mobiele apps, multi-warehouse, RFID, ERP-koppelingen — zie bijlage in de oorspronkelijke specificatie). Dat systeem is op termijn een project voor een externe ontwikkelpartij.</w:t>
      </w:r>
    </w:p>
    <w:p>
      <w:pPr>
        <w:spacing w:after="150"/>
      </w:pPr>
      <w:r>
        <w:rPr>
          <w:color w:val="1A1A1A"/>
          <w:sz w:val="21"/>
          <w:szCs w:val="21"/>
        </w:rPr>
        <w:t xml:space="preserve">Dit plan beschrijft bewust een kleinere eerste stap: een werkend MVP-dashboard, zelf te bouwen met Claude Code, waarmee Operations managers per evenement de drankvoorraad en brutomarge kunnen inzien en bijwerken. Doel is een bruikbaar intern hulpmiddel én een bewijs van concept richting de organisatie, voordat een externe partij wordt ingeschakeld voor de zware technische onderdelen (barcodehardware, offline sync, productiedatabase, SEM-koppeling).</w:t>
      </w:r>
    </w:p>
    <w:p>
      <w:pPr>
        <w:pStyle w:val="Heading2"/>
        <w:spacing w:after="150" w:before="300"/>
      </w:pPr>
      <w:r>
        <w:rPr>
          <w:b/>
          <w:bCs/>
          <w:color w:val="1A1A1A"/>
          <w:sz w:val="24"/>
          <w:szCs w:val="24"/>
        </w:rPr>
        <w:t xml:space="preserve">1.1 Wat dit plan wél omvat</w:t>
      </w:r>
    </w:p>
    <w:p>
      <w:pPr>
        <w:pStyle w:val="ListParagraph"/>
        <w:numPr>
          <w:ilvl w:val="0"/>
          <w:numId w:val="2"/>
        </w:numPr>
        <w:spacing w:after="80"/>
      </w:pPr>
      <w:r>
        <w:rPr>
          <w:color w:val="1A1A1A"/>
          <w:sz w:val="21"/>
          <w:szCs w:val="21"/>
        </w:rPr>
        <w:t xml:space="preserve">Overzicht van drankvoorraad en verbruik per evenement</w:t>
      </w:r>
    </w:p>
    <w:p>
      <w:pPr>
        <w:pStyle w:val="ListParagraph"/>
        <w:numPr>
          <w:ilvl w:val="0"/>
          <w:numId w:val="2"/>
        </w:numPr>
        <w:spacing w:after="80"/>
      </w:pPr>
      <w:r>
        <w:rPr>
          <w:color w:val="1A1A1A"/>
          <w:sz w:val="21"/>
          <w:szCs w:val="21"/>
        </w:rPr>
        <w:t xml:space="preserve">Handmatig boeken van uitgifte en retour per evenement</w:t>
      </w:r>
    </w:p>
    <w:p>
      <w:pPr>
        <w:pStyle w:val="ListParagraph"/>
        <w:numPr>
          <w:ilvl w:val="0"/>
          <w:numId w:val="2"/>
        </w:numPr>
        <w:spacing w:after="80"/>
      </w:pPr>
      <w:r>
        <w:rPr>
          <w:color w:val="1A1A1A"/>
          <w:sz w:val="21"/>
          <w:szCs w:val="21"/>
        </w:rPr>
        <w:t xml:space="preserve">Automatische brutomarge-berekening per evenement</w:t>
      </w:r>
    </w:p>
    <w:p>
      <w:pPr>
        <w:pStyle w:val="ListParagraph"/>
        <w:numPr>
          <w:ilvl w:val="0"/>
          <w:numId w:val="2"/>
        </w:numPr>
        <w:spacing w:after="80"/>
      </w:pPr>
      <w:r>
        <w:rPr>
          <w:color w:val="1A1A1A"/>
          <w:sz w:val="21"/>
          <w:szCs w:val="21"/>
        </w:rPr>
        <w:t xml:space="preserve">Werkend op laptop en mobiele browser (responsive webapp)</w:t>
      </w:r>
    </w:p>
    <w:p>
      <w:pPr>
        <w:pStyle w:val="ListParagraph"/>
        <w:numPr>
          <w:ilvl w:val="0"/>
          <w:numId w:val="2"/>
        </w:numPr>
        <w:spacing w:after="80"/>
      </w:pPr>
      <w:r>
        <w:rPr>
          <w:color w:val="1A1A1A"/>
          <w:sz w:val="21"/>
          <w:szCs w:val="21"/>
        </w:rPr>
        <w:t xml:space="preserve">Huisstijl NBC en Green Village toegepast</w:t>
      </w:r>
    </w:p>
    <w:p>
      <w:pPr>
        <w:pStyle w:val="ListParagraph"/>
        <w:numPr>
          <w:ilvl w:val="0"/>
          <w:numId w:val="2"/>
        </w:numPr>
        <w:spacing w:after="80"/>
      </w:pPr>
      <w:r>
        <w:rPr>
          <w:color w:val="1A1A1A"/>
          <w:sz w:val="21"/>
          <w:szCs w:val="21"/>
        </w:rPr>
        <w:t xml:space="preserve">Demo-data om het concept te testen</w:t>
      </w:r>
    </w:p>
    <w:p>
      <w:pPr>
        <w:pStyle w:val="Heading2"/>
        <w:spacing w:after="150" w:before="300"/>
      </w:pPr>
      <w:r>
        <w:rPr>
          <w:b/>
          <w:bCs/>
          <w:color w:val="1A1A1A"/>
          <w:sz w:val="24"/>
          <w:szCs w:val="24"/>
        </w:rPr>
        <w:t xml:space="preserve">1.2 Wat dit plan bewust NIET omvat (latere fase / externe partij)</w:t>
      </w:r>
    </w:p>
    <w:p>
      <w:pPr>
        <w:pStyle w:val="ListParagraph"/>
        <w:numPr>
          <w:ilvl w:val="0"/>
          <w:numId w:val="2"/>
        </w:numPr>
        <w:spacing w:after="80"/>
      </w:pPr>
      <w:r>
        <w:rPr>
          <w:color w:val="1A1A1A"/>
          <w:sz w:val="21"/>
          <w:szCs w:val="21"/>
        </w:rPr>
        <w:t xml:space="preserve">Barcode- of camera-scanning</w:t>
      </w:r>
    </w:p>
    <w:p>
      <w:pPr>
        <w:pStyle w:val="ListParagraph"/>
        <w:numPr>
          <w:ilvl w:val="0"/>
          <w:numId w:val="2"/>
        </w:numPr>
        <w:spacing w:after="80"/>
      </w:pPr>
      <w:r>
        <w:rPr>
          <w:color w:val="1A1A1A"/>
          <w:sz w:val="21"/>
          <w:szCs w:val="21"/>
        </w:rPr>
        <w:t xml:space="preserve">Native iOS/Android apps en offline-first synchronisatie</w:t>
      </w:r>
    </w:p>
    <w:p>
      <w:pPr>
        <w:pStyle w:val="ListParagraph"/>
        <w:numPr>
          <w:ilvl w:val="0"/>
          <w:numId w:val="2"/>
        </w:numPr>
        <w:spacing w:after="80"/>
      </w:pPr>
      <w:r>
        <w:rPr>
          <w:color w:val="1A1A1A"/>
          <w:sz w:val="21"/>
          <w:szCs w:val="21"/>
        </w:rPr>
        <w:t xml:space="preserve">Productie-cloud-database, gebruikersrollen/rechtenbeheer, automatische back-ups</w:t>
      </w:r>
    </w:p>
    <w:p>
      <w:pPr>
        <w:pStyle w:val="ListParagraph"/>
        <w:numPr>
          <w:ilvl w:val="0"/>
          <w:numId w:val="2"/>
        </w:numPr>
        <w:spacing w:after="80"/>
      </w:pPr>
      <w:r>
        <w:rPr>
          <w:color w:val="1A1A1A"/>
          <w:sz w:val="21"/>
          <w:szCs w:val="21"/>
        </w:rPr>
        <w:t xml:space="preserve">Live koppeling met SEM (Smart Event Manager) — wél alvast voorbereid in het datamodel, zie hoofdstuk 6</w:t>
      </w:r>
    </w:p>
    <w:p>
      <w:pPr>
        <w:pStyle w:val="ListParagraph"/>
        <w:numPr>
          <w:ilvl w:val="0"/>
          <w:numId w:val="2"/>
        </w:numPr>
        <w:spacing w:after="80"/>
      </w:pPr>
      <w:r>
        <w:rPr>
          <w:color w:val="1A1A1A"/>
          <w:sz w:val="21"/>
          <w:szCs w:val="21"/>
        </w:rPr>
        <w:t xml:space="preserve">Multi-warehouse, emballage/statiegeld, RFID, kassakoppeling</w:t>
      </w:r>
    </w:p>
    <w:p>
      <w:pPr>
        <w:pStyle w:val="Heading1"/>
        <w:spacing w:after="200" w:before="400"/>
      </w:pPr>
      <w:r>
        <w:rPr>
          <w:b/>
          <w:bCs/>
          <w:color w:val="229D96"/>
          <w:sz w:val="32"/>
          <w:szCs w:val="32"/>
        </w:rPr>
        <w:t xml:space="preserve">2. Gebruiker en gebruikscontext</w:t>
      </w:r>
    </w:p>
    <w:p>
      <w:pPr>
        <w:spacing w:after="150"/>
      </w:pPr>
      <w:r>
        <w:rPr>
          <w:color w:val="1A1A1A"/>
          <w:sz w:val="21"/>
          <w:szCs w:val="21"/>
        </w:rPr>
        <w:t xml:space="preserve">Primaire gebruiker: Operations manager bij NBC of Green Village.</w:t>
      </w:r>
    </w:p>
    <w:p>
      <w:pPr>
        <w:pStyle w:val="ListParagraph"/>
        <w:numPr>
          <w:ilvl w:val="0"/>
          <w:numId w:val="2"/>
        </w:numPr>
        <w:spacing w:after="80"/>
      </w:pPr>
      <w:r>
        <w:rPr>
          <w:color w:val="1A1A1A"/>
          <w:sz w:val="21"/>
          <w:szCs w:val="21"/>
        </w:rPr>
        <w:t xml:space="preserve">Gebruikt de app op desktop tijdens voorbereiding, en op mobiel tijdens een evenement</w:t>
      </w:r>
    </w:p>
    <w:p>
      <w:pPr>
        <w:pStyle w:val="ListParagraph"/>
        <w:numPr>
          <w:ilvl w:val="0"/>
          <w:numId w:val="2"/>
        </w:numPr>
        <w:spacing w:after="80"/>
      </w:pPr>
      <w:r>
        <w:rPr>
          <w:color w:val="1A1A1A"/>
          <w:sz w:val="21"/>
          <w:szCs w:val="21"/>
        </w:rPr>
        <w:t xml:space="preserve">Wil per evenement snel zien: wat is uitgegeven, wat is de verwachte marge, wat komt terug</w:t>
      </w:r>
    </w:p>
    <w:p>
      <w:pPr>
        <w:pStyle w:val="ListParagraph"/>
        <w:numPr>
          <w:ilvl w:val="0"/>
          <w:numId w:val="2"/>
        </w:numPr>
        <w:spacing w:after="80"/>
      </w:pPr>
      <w:r>
        <w:rPr>
          <w:color w:val="1A1A1A"/>
          <w:sz w:val="21"/>
          <w:szCs w:val="21"/>
        </w:rPr>
        <w:t xml:space="preserve">Geen technische achtergrond nodig — eenvoudige formulieren, geen jargon</w:t>
      </w:r>
    </w:p>
    <w:p>
      <w:pPr>
        <w:spacing w:after="150"/>
      </w:pPr>
      <w:r>
        <w:rPr>
          <w:color w:val="1A1A1A"/>
          <w:sz w:val="21"/>
          <w:szCs w:val="21"/>
        </w:rPr>
        <w:t xml:space="preserve">Voor de MVP is er geen onderscheid in gebruikersrollen (Beheerder / Magazijnmedewerker / Evenementmanager uit de oorspronkelijke specificatie) — iedereen die de link heeft, kan alles zien en boeken. Rollen en rechten zijn een onderwerp voor de productiefase.</w:t>
      </w:r>
    </w:p>
    <w:p>
      <w:pPr>
        <w:pStyle w:val="Heading1"/>
        <w:spacing w:after="200" w:before="400"/>
      </w:pPr>
      <w:r>
        <w:rPr>
          <w:b/>
          <w:bCs/>
          <w:color w:val="229D96"/>
          <w:sz w:val="32"/>
          <w:szCs w:val="32"/>
        </w:rPr>
        <w:t xml:space="preserve">3. Kernschermen (MVP)</w:t>
      </w:r>
    </w:p>
    <w:p>
      <w:pPr>
        <w:pStyle w:val="Heading2"/>
        <w:spacing w:after="150" w:before="300"/>
      </w:pPr>
      <w:r>
        <w:rPr>
          <w:b/>
          <w:bCs/>
          <w:color w:val="1A1A1A"/>
          <w:sz w:val="24"/>
          <w:szCs w:val="24"/>
        </w:rPr>
        <w:t xml:space="preserve">3.1 Evenementenoverzicht (startscherm)</w:t>
      </w:r>
    </w:p>
    <w:p>
      <w:pPr>
        <w:spacing w:after="150"/>
      </w:pPr>
      <w:r>
        <w:rPr>
          <w:color w:val="1A1A1A"/>
          <w:sz w:val="21"/>
          <w:szCs w:val="21"/>
        </w:rPr>
        <w:t xml:space="preserve">Lijst van evenementen met per rij: evenementnaam, merk (NBC / Green Village), datum, status (Gepland / Actief / Afgerond), en een snelle indicatie van de huidige brutomarge %.</w:t>
      </w:r>
    </w:p>
    <w:p>
      <w:pPr>
        <w:pStyle w:val="ListParagraph"/>
        <w:numPr>
          <w:ilvl w:val="0"/>
          <w:numId w:val="2"/>
        </w:numPr>
        <w:spacing w:after="80"/>
      </w:pPr>
      <w:r>
        <w:rPr>
          <w:color w:val="1A1A1A"/>
          <w:sz w:val="21"/>
          <w:szCs w:val="21"/>
        </w:rPr>
        <w:t xml:space="preserve">Filter op merk (NBC / Green Village)</w:t>
      </w:r>
    </w:p>
    <w:p>
      <w:pPr>
        <w:pStyle w:val="ListParagraph"/>
        <w:numPr>
          <w:ilvl w:val="0"/>
          <w:numId w:val="2"/>
        </w:numPr>
        <w:spacing w:after="80"/>
      </w:pPr>
      <w:r>
        <w:rPr>
          <w:color w:val="1A1A1A"/>
          <w:sz w:val="21"/>
          <w:szCs w:val="21"/>
        </w:rPr>
        <w:t xml:space="preserve">Filter op status</w:t>
      </w:r>
    </w:p>
    <w:p>
      <w:pPr>
        <w:pStyle w:val="ListParagraph"/>
        <w:numPr>
          <w:ilvl w:val="0"/>
          <w:numId w:val="2"/>
        </w:numPr>
        <w:spacing w:after="80"/>
      </w:pPr>
      <w:r>
        <w:rPr>
          <w:color w:val="1A1A1A"/>
          <w:sz w:val="21"/>
          <w:szCs w:val="21"/>
        </w:rPr>
        <w:t xml:space="preserve">Zoekbalk op evenementnaam</w:t>
      </w:r>
    </w:p>
    <w:p>
      <w:pPr>
        <w:pStyle w:val="ListParagraph"/>
        <w:numPr>
          <w:ilvl w:val="0"/>
          <w:numId w:val="2"/>
        </w:numPr>
        <w:spacing w:after="80"/>
      </w:pPr>
      <w:r>
        <w:rPr>
          <w:color w:val="1A1A1A"/>
          <w:sz w:val="21"/>
          <w:szCs w:val="21"/>
        </w:rPr>
        <w:t xml:space="preserve">Klik op een evenement → detailscherm</w:t>
      </w:r>
    </w:p>
    <w:p>
      <w:pPr>
        <w:pStyle w:val="ListParagraph"/>
        <w:numPr>
          <w:ilvl w:val="0"/>
          <w:numId w:val="2"/>
        </w:numPr>
        <w:spacing w:after="80"/>
      </w:pPr>
      <w:r>
        <w:rPr>
          <w:color w:val="1A1A1A"/>
          <w:sz w:val="21"/>
          <w:szCs w:val="21"/>
        </w:rPr>
        <w:t xml:space="preserve">Knop "Nieuw evenement"</w:t>
      </w:r>
    </w:p>
    <w:p>
      <w:pPr>
        <w:pStyle w:val="Heading2"/>
        <w:spacing w:after="150" w:before="300"/>
      </w:pPr>
      <w:r>
        <w:rPr>
          <w:b/>
          <w:bCs/>
          <w:color w:val="1A1A1A"/>
          <w:sz w:val="24"/>
          <w:szCs w:val="24"/>
        </w:rPr>
        <w:t xml:space="preserve">3.2 Evenementdetail</w:t>
      </w:r>
    </w:p>
    <w:p>
      <w:pPr>
        <w:spacing w:after="150"/>
      </w:pPr>
      <w:r>
        <w:rPr>
          <w:color w:val="1A1A1A"/>
          <w:sz w:val="21"/>
          <w:szCs w:val="21"/>
        </w:rPr>
        <w:t xml:space="preserve">Kern van de app. Toont per evenement:</w:t>
      </w:r>
    </w:p>
    <w:p>
      <w:pPr>
        <w:pStyle w:val="ListParagraph"/>
        <w:numPr>
          <w:ilvl w:val="0"/>
          <w:numId w:val="2"/>
        </w:numPr>
        <w:spacing w:after="80"/>
      </w:pPr>
      <w:r>
        <w:rPr>
          <w:color w:val="1A1A1A"/>
          <w:sz w:val="21"/>
          <w:szCs w:val="21"/>
        </w:rPr>
        <w:t xml:space="preserve">Evenementgegevens: naam, datum, locatie/merk, opdrachtgever (optioneel), status</w:t>
      </w:r>
    </w:p>
    <w:p>
      <w:pPr>
        <w:pStyle w:val="ListParagraph"/>
        <w:numPr>
          <w:ilvl w:val="0"/>
          <w:numId w:val="2"/>
        </w:numPr>
        <w:spacing w:after="80"/>
      </w:pPr>
      <w:r>
        <w:rPr>
          <w:color w:val="1A1A1A"/>
          <w:sz w:val="21"/>
          <w:szCs w:val="21"/>
        </w:rPr>
        <w:t xml:space="preserve">Tabel met geboekte producten: product, aantal uitgegeven, aantal retour, werkelijk verbruik (= uitgegeven − retour)</w:t>
      </w:r>
    </w:p>
    <w:p>
      <w:pPr>
        <w:pStyle w:val="ListParagraph"/>
        <w:numPr>
          <w:ilvl w:val="0"/>
          <w:numId w:val="2"/>
        </w:numPr>
        <w:spacing w:after="80"/>
      </w:pPr>
      <w:r>
        <w:rPr>
          <w:color w:val="1A1A1A"/>
          <w:sz w:val="21"/>
          <w:szCs w:val="21"/>
        </w:rPr>
        <w:t xml:space="preserve">Knop "Product boeken" (uitgifte) en "Retour boeken"</w:t>
      </w:r>
    </w:p>
    <w:p>
      <w:pPr>
        <w:pStyle w:val="ListParagraph"/>
        <w:numPr>
          <w:ilvl w:val="0"/>
          <w:numId w:val="2"/>
        </w:numPr>
        <w:spacing w:after="80"/>
      </w:pPr>
      <w:r>
        <w:rPr>
          <w:color w:val="1A1A1A"/>
          <w:sz w:val="21"/>
          <w:szCs w:val="21"/>
        </w:rPr>
        <w:t xml:space="preserve">Invoerveld "Omzet" (handmatig)</w:t>
      </w:r>
    </w:p>
    <w:p>
      <w:pPr>
        <w:pStyle w:val="ListParagraph"/>
        <w:numPr>
          <w:ilvl w:val="0"/>
          <w:numId w:val="2"/>
        </w:numPr>
        <w:spacing w:after="80"/>
      </w:pPr>
      <w:r>
        <w:rPr>
          <w:color w:val="1A1A1A"/>
          <w:sz w:val="21"/>
          <w:szCs w:val="21"/>
        </w:rPr>
        <w:t xml:space="preserve">Berekend blok: Kostprijs verbruik, Brutowinst, Brutomarge % — zie hoofdstuk 5 voor de formules</w:t>
      </w:r>
    </w:p>
    <w:p>
      <w:pPr>
        <w:pStyle w:val="ListParagraph"/>
        <w:numPr>
          <w:ilvl w:val="0"/>
          <w:numId w:val="2"/>
        </w:numPr>
        <w:spacing w:after="80"/>
      </w:pPr>
      <w:r>
        <w:rPr>
          <w:color w:val="1A1A1A"/>
          <w:sz w:val="21"/>
          <w:szCs w:val="21"/>
        </w:rPr>
        <w:t xml:space="preserve">Exportknop (PDF/Excel) — mag in MVP een eenvoudige export zijn, geen prioriteit</w:t>
      </w:r>
    </w:p>
    <w:p>
      <w:pPr>
        <w:pStyle w:val="Heading2"/>
        <w:spacing w:after="150" w:before="300"/>
      </w:pPr>
      <w:r>
        <w:rPr>
          <w:b/>
          <w:bCs/>
          <w:color w:val="1A1A1A"/>
          <w:sz w:val="24"/>
          <w:szCs w:val="24"/>
        </w:rPr>
        <w:t xml:space="preserve">3.3 Product boeken (modal of subscherm)</w:t>
      </w:r>
    </w:p>
    <w:p>
      <w:pPr>
        <w:spacing w:after="150"/>
      </w:pPr>
      <w:r>
        <w:rPr>
          <w:color w:val="1A1A1A"/>
          <w:sz w:val="21"/>
          <w:szCs w:val="21"/>
        </w:rPr>
        <w:t xml:space="preserve">Eenvoudig formulier: kies product uit lijst (dropdown/zoekveld, geen barcode scan in MVP), vul aantal in, kies "Uitgifte" of "Retour", bevestig. Datum/tijd/gebruiker worden automatisch vastgelegd.</w:t>
      </w:r>
    </w:p>
    <w:p>
      <w:pPr>
        <w:pStyle w:val="Heading2"/>
        <w:spacing w:after="150" w:before="300"/>
      </w:pPr>
      <w:r>
        <w:rPr>
          <w:b/>
          <w:bCs/>
          <w:color w:val="1A1A1A"/>
          <w:sz w:val="24"/>
          <w:szCs w:val="24"/>
        </w:rPr>
        <w:t xml:space="preserve">3.4 Productbeheer</w:t>
      </w:r>
    </w:p>
    <w:p>
      <w:pPr>
        <w:spacing w:after="150"/>
      </w:pPr>
      <w:r>
        <w:rPr>
          <w:color w:val="1A1A1A"/>
          <w:sz w:val="21"/>
          <w:szCs w:val="21"/>
        </w:rPr>
        <w:t xml:space="preserve">Eenvoudige lijst van producten met naam, categorie, inkoopprijs, verkoopprijs, eenheid. Toevoegen/wijzigen/verwijderen. Geen barcodekoppeling in de MVP.</w:t>
      </w:r>
    </w:p>
    <w:p>
      <w:pPr>
        <w:pStyle w:val="Heading2"/>
        <w:spacing w:after="150" w:before="300"/>
      </w:pPr>
      <w:r>
        <w:rPr>
          <w:b/>
          <w:bCs/>
          <w:color w:val="1A1A1A"/>
          <w:sz w:val="24"/>
          <w:szCs w:val="24"/>
        </w:rPr>
        <w:t xml:space="preserve">3.5 Dashboard/rapportage (licht)</w:t>
      </w:r>
    </w:p>
    <w:p>
      <w:pPr>
        <w:spacing w:after="150"/>
      </w:pPr>
      <w:r>
        <w:rPr>
          <w:color w:val="1A1A1A"/>
          <w:sz w:val="21"/>
          <w:szCs w:val="21"/>
        </w:rPr>
        <w:t xml:space="preserve">Eén overzichtsscherm met: totale brutomarge over alle actieve evenementen, top 5 meest gebruikte producten, brutomarge per evenement in een simpele staafgrafiek. Uitgebreide rapportages (derving, voorraadverschillen, historie-export) zijn een latere fase.</w:t>
      </w:r>
    </w:p>
    <w:p>
      <w:pPr>
        <w:pStyle w:val="Heading1"/>
        <w:spacing w:after="200" w:before="400"/>
      </w:pPr>
      <w:r>
        <w:rPr>
          <w:b/>
          <w:bCs/>
          <w:color w:val="229D96"/>
          <w:sz w:val="32"/>
          <w:szCs w:val="32"/>
        </w:rPr>
        <w:t xml:space="preserve">4. Datamodel (vereenvoudigd voor MVP)</w:t>
      </w:r>
    </w:p>
    <w:p>
      <w:pPr>
        <w:spacing w:after="150"/>
      </w:pPr>
      <w:r>
        <w:rPr>
          <w:color w:val="1A1A1A"/>
          <w:sz w:val="21"/>
          <w:szCs w:val="21"/>
        </w:rPr>
        <w:t xml:space="preserve">Onderstaande structuur is direct bruikbaar als state-model in de MVP en als basis voor een echte database in een latere fase.</w:t>
      </w:r>
    </w:p>
    <w:p>
      <w:pPr>
        <w:pStyle w:val="Heading3"/>
        <w:spacing w:after="100" w:before="200"/>
      </w:pPr>
      <w:r>
        <w:rPr>
          <w:b/>
          <w:bCs/>
          <w:color w:val="F6A304"/>
          <w:sz w:val="20"/>
          <w:szCs w:val="20"/>
        </w:rPr>
        <w:t xml:space="preserve">Product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350"/>
        <w:gridCol w:w="5670"/>
      </w:tblGrid>
      <w:tr>
        <w:tc>
          <w:tcPr>
            <w:tcW w:type="pct" w:w="22%"/>
            <w:shd w:fill="229D96" w:val="clear"/>
            <w:tcMar>
              <w:top w:type="dxa" w:w="100"/>
              <w:left w:type="dxa" w:w="150"/>
              <w:bottom w:type="dxa" w:w="100"/>
              <w:right w:type="dxa" w:w="150"/>
            </w:tcMar>
          </w:tcPr>
          <w:p>
            <w:r>
              <w:rPr>
                <w:b/>
                <w:bCs/>
                <w:color w:val="FFFFFF"/>
                <w:sz w:val="19"/>
                <w:szCs w:val="19"/>
              </w:rPr>
              <w:t xml:space="preserve">Veld</w:t>
            </w:r>
          </w:p>
        </w:tc>
        <w:tc>
          <w:tcPr>
            <w:tcW w:type="pct" w:w="15%"/>
            <w:shd w:fill="229D96" w:val="clear"/>
            <w:tcMar>
              <w:top w:type="dxa" w:w="100"/>
              <w:left w:type="dxa" w:w="150"/>
              <w:bottom w:type="dxa" w:w="100"/>
              <w:right w:type="dxa" w:w="150"/>
            </w:tcMar>
          </w:tcPr>
          <w:p>
            <w:r>
              <w:rPr>
                <w:b/>
                <w:bCs/>
                <w:color w:val="FFFFFF"/>
                <w:sz w:val="19"/>
                <w:szCs w:val="19"/>
              </w:rPr>
              <w:t xml:space="preserve">Type</w:t>
            </w:r>
          </w:p>
        </w:tc>
        <w:tc>
          <w:tcPr>
            <w:tcW w:type="pct" w:w="63%"/>
            <w:shd w:fill="229D96" w:val="clear"/>
            <w:tcMar>
              <w:top w:type="dxa" w:w="100"/>
              <w:left w:type="dxa" w:w="150"/>
              <w:bottom w:type="dxa" w:w="100"/>
              <w:right w:type="dxa" w:w="150"/>
            </w:tcMar>
          </w:tcPr>
          <w:p>
            <w:r>
              <w:rPr>
                <w:b/>
                <w:bCs/>
                <w:color w:val="FFFFFF"/>
                <w:sz w:val="19"/>
                <w:szCs w:val="19"/>
              </w:rPr>
              <w:t xml:space="preserve">Toelichting</w:t>
            </w:r>
          </w:p>
        </w:tc>
      </w:tr>
      <w:tr>
        <w:tc>
          <w:tcPr>
            <w:tcW w:type="pct" w:w="22%"/>
            <w:tcMar>
              <w:top w:type="dxa" w:w="100"/>
              <w:left w:type="dxa" w:w="150"/>
              <w:bottom w:type="dxa" w:w="100"/>
              <w:right w:type="dxa" w:w="150"/>
            </w:tcMar>
          </w:tcPr>
          <w:p>
            <w:r>
              <w:rPr>
                <w:b w:val="false"/>
                <w:bCs w:val="false"/>
                <w:color w:val="1A1A1A"/>
                <w:sz w:val="19"/>
                <w:szCs w:val="19"/>
              </w:rPr>
              <w:t xml:space="preserve">id</w:t>
            </w:r>
          </w:p>
        </w:tc>
        <w:tc>
          <w:tcPr>
            <w:tcW w:type="pct" w:w="15%"/>
            <w:tcMar>
              <w:top w:type="dxa" w:w="100"/>
              <w:left w:type="dxa" w:w="150"/>
              <w:bottom w:type="dxa" w:w="100"/>
              <w:right w:type="dxa" w:w="150"/>
            </w:tcMar>
          </w:tcPr>
          <w:p>
            <w:r>
              <w:rPr>
                <w:b w:val="false"/>
                <w:bCs w:val="false"/>
                <w:color w:val="1A1A1A"/>
                <w:sz w:val="19"/>
                <w:szCs w:val="19"/>
              </w:rPr>
              <w:t xml:space="preserve">string</w:t>
            </w:r>
          </w:p>
        </w:tc>
        <w:tc>
          <w:tcPr>
            <w:tcW w:type="pct" w:w="63%"/>
            <w:tcMar>
              <w:top w:type="dxa" w:w="100"/>
              <w:left w:type="dxa" w:w="150"/>
              <w:bottom w:type="dxa" w:w="100"/>
              <w:right w:type="dxa" w:w="150"/>
            </w:tcMar>
          </w:tcPr>
          <w:p>
            <w:r>
              <w:rPr>
                <w:b w:val="false"/>
                <w:bCs w:val="false"/>
                <w:color w:val="1A1A1A"/>
                <w:sz w:val="19"/>
                <w:szCs w:val="19"/>
              </w:rPr>
              <w:t xml:space="preserve">Uniek ID</w:t>
            </w:r>
          </w:p>
        </w:tc>
      </w:tr>
      <w:tr>
        <w:tc>
          <w:tcPr>
            <w:tcW w:type="pct" w:w="22%"/>
            <w:tcMar>
              <w:top w:type="dxa" w:w="100"/>
              <w:left w:type="dxa" w:w="150"/>
              <w:bottom w:type="dxa" w:w="100"/>
              <w:right w:type="dxa" w:w="150"/>
            </w:tcMar>
          </w:tcPr>
          <w:p>
            <w:r>
              <w:rPr>
                <w:b w:val="false"/>
                <w:bCs w:val="false"/>
                <w:color w:val="1A1A1A"/>
                <w:sz w:val="19"/>
                <w:szCs w:val="19"/>
              </w:rPr>
              <w:t xml:space="preserve">naam</w:t>
            </w:r>
          </w:p>
        </w:tc>
        <w:tc>
          <w:tcPr>
            <w:tcW w:type="pct" w:w="15%"/>
            <w:tcMar>
              <w:top w:type="dxa" w:w="100"/>
              <w:left w:type="dxa" w:w="150"/>
              <w:bottom w:type="dxa" w:w="100"/>
              <w:right w:type="dxa" w:w="150"/>
            </w:tcMar>
          </w:tcPr>
          <w:p>
            <w:r>
              <w:rPr>
                <w:b w:val="false"/>
                <w:bCs w:val="false"/>
                <w:color w:val="1A1A1A"/>
                <w:sz w:val="19"/>
                <w:szCs w:val="19"/>
              </w:rPr>
              <w:t xml:space="preserve">string</w:t>
            </w:r>
          </w:p>
        </w:tc>
        <w:tc>
          <w:tcPr>
            <w:tcW w:type="pct" w:w="63%"/>
            <w:tcMar>
              <w:top w:type="dxa" w:w="100"/>
              <w:left w:type="dxa" w:w="150"/>
              <w:bottom w:type="dxa" w:w="100"/>
              <w:right w:type="dxa" w:w="150"/>
            </w:tcMar>
          </w:tcPr>
          <w:p>
            <w:r>
              <w:rPr>
                <w:b w:val="false"/>
                <w:bCs w:val="false"/>
                <w:color w:val="1A1A1A"/>
                <w:sz w:val="19"/>
                <w:szCs w:val="19"/>
              </w:rPr>
              <w:t xml:space="preserve"/>
            </w:r>
          </w:p>
        </w:tc>
      </w:tr>
      <w:tr>
        <w:tc>
          <w:tcPr>
            <w:tcW w:type="pct" w:w="22%"/>
            <w:tcMar>
              <w:top w:type="dxa" w:w="100"/>
              <w:left w:type="dxa" w:w="150"/>
              <w:bottom w:type="dxa" w:w="100"/>
              <w:right w:type="dxa" w:w="150"/>
            </w:tcMar>
          </w:tcPr>
          <w:p>
            <w:r>
              <w:rPr>
                <w:b w:val="false"/>
                <w:bCs w:val="false"/>
                <w:color w:val="1A1A1A"/>
                <w:sz w:val="19"/>
                <w:szCs w:val="19"/>
              </w:rPr>
              <w:t xml:space="preserve">categorie</w:t>
            </w:r>
          </w:p>
        </w:tc>
        <w:tc>
          <w:tcPr>
            <w:tcW w:type="pct" w:w="15%"/>
            <w:tcMar>
              <w:top w:type="dxa" w:w="100"/>
              <w:left w:type="dxa" w:w="150"/>
              <w:bottom w:type="dxa" w:w="100"/>
              <w:right w:type="dxa" w:w="150"/>
            </w:tcMar>
          </w:tcPr>
          <w:p>
            <w:r>
              <w:rPr>
                <w:b w:val="false"/>
                <w:bCs w:val="false"/>
                <w:color w:val="1A1A1A"/>
                <w:sz w:val="19"/>
                <w:szCs w:val="19"/>
              </w:rPr>
              <w:t xml:space="preserve">string</w:t>
            </w:r>
          </w:p>
        </w:tc>
        <w:tc>
          <w:tcPr>
            <w:tcW w:type="pct" w:w="63%"/>
            <w:tcMar>
              <w:top w:type="dxa" w:w="100"/>
              <w:left w:type="dxa" w:w="150"/>
              <w:bottom w:type="dxa" w:w="100"/>
              <w:right w:type="dxa" w:w="150"/>
            </w:tcMar>
          </w:tcPr>
          <w:p>
            <w:r>
              <w:rPr>
                <w:b w:val="false"/>
                <w:bCs w:val="false"/>
                <w:color w:val="1A1A1A"/>
                <w:sz w:val="19"/>
                <w:szCs w:val="19"/>
              </w:rPr>
              <w:t xml:space="preserve">bijv. bier, wijn, fris, sterke drank</w:t>
            </w:r>
          </w:p>
        </w:tc>
      </w:tr>
      <w:tr>
        <w:tc>
          <w:tcPr>
            <w:tcW w:type="pct" w:w="22%"/>
            <w:tcMar>
              <w:top w:type="dxa" w:w="100"/>
              <w:left w:type="dxa" w:w="150"/>
              <w:bottom w:type="dxa" w:w="100"/>
              <w:right w:type="dxa" w:w="150"/>
            </w:tcMar>
          </w:tcPr>
          <w:p>
            <w:r>
              <w:rPr>
                <w:b w:val="false"/>
                <w:bCs w:val="false"/>
                <w:color w:val="1A1A1A"/>
                <w:sz w:val="19"/>
                <w:szCs w:val="19"/>
              </w:rPr>
              <w:t xml:space="preserve">inkoopprijs</w:t>
            </w:r>
          </w:p>
        </w:tc>
        <w:tc>
          <w:tcPr>
            <w:tcW w:type="pct" w:w="15%"/>
            <w:tcMar>
              <w:top w:type="dxa" w:w="100"/>
              <w:left w:type="dxa" w:w="150"/>
              <w:bottom w:type="dxa" w:w="100"/>
              <w:right w:type="dxa" w:w="150"/>
            </w:tcMar>
          </w:tcPr>
          <w:p>
            <w:r>
              <w:rPr>
                <w:b w:val="false"/>
                <w:bCs w:val="false"/>
                <w:color w:val="1A1A1A"/>
                <w:sz w:val="19"/>
                <w:szCs w:val="19"/>
              </w:rPr>
              <w:t xml:space="preserve">number</w:t>
            </w:r>
          </w:p>
        </w:tc>
        <w:tc>
          <w:tcPr>
            <w:tcW w:type="pct" w:w="63%"/>
            <w:tcMar>
              <w:top w:type="dxa" w:w="100"/>
              <w:left w:type="dxa" w:w="150"/>
              <w:bottom w:type="dxa" w:w="100"/>
              <w:right w:type="dxa" w:w="150"/>
            </w:tcMar>
          </w:tcPr>
          <w:p>
            <w:r>
              <w:rPr>
                <w:b w:val="false"/>
                <w:bCs w:val="false"/>
                <w:color w:val="1A1A1A"/>
                <w:sz w:val="19"/>
                <w:szCs w:val="19"/>
              </w:rPr>
              <w:t xml:space="preserve">per eenheid</w:t>
            </w:r>
          </w:p>
        </w:tc>
      </w:tr>
      <w:tr>
        <w:tc>
          <w:tcPr>
            <w:tcW w:type="pct" w:w="22%"/>
            <w:tcMar>
              <w:top w:type="dxa" w:w="100"/>
              <w:left w:type="dxa" w:w="150"/>
              <w:bottom w:type="dxa" w:w="100"/>
              <w:right w:type="dxa" w:w="150"/>
            </w:tcMar>
          </w:tcPr>
          <w:p>
            <w:r>
              <w:rPr>
                <w:b w:val="false"/>
                <w:bCs w:val="false"/>
                <w:color w:val="1A1A1A"/>
                <w:sz w:val="19"/>
                <w:szCs w:val="19"/>
              </w:rPr>
              <w:t xml:space="preserve">verkoopprijs</w:t>
            </w:r>
          </w:p>
        </w:tc>
        <w:tc>
          <w:tcPr>
            <w:tcW w:type="pct" w:w="15%"/>
            <w:tcMar>
              <w:top w:type="dxa" w:w="100"/>
              <w:left w:type="dxa" w:w="150"/>
              <w:bottom w:type="dxa" w:w="100"/>
              <w:right w:type="dxa" w:w="150"/>
            </w:tcMar>
          </w:tcPr>
          <w:p>
            <w:r>
              <w:rPr>
                <w:b w:val="false"/>
                <w:bCs w:val="false"/>
                <w:color w:val="1A1A1A"/>
                <w:sz w:val="19"/>
                <w:szCs w:val="19"/>
              </w:rPr>
              <w:t xml:space="preserve">number</w:t>
            </w:r>
          </w:p>
        </w:tc>
        <w:tc>
          <w:tcPr>
            <w:tcW w:type="pct" w:w="63%"/>
            <w:tcMar>
              <w:top w:type="dxa" w:w="100"/>
              <w:left w:type="dxa" w:w="150"/>
              <w:bottom w:type="dxa" w:w="100"/>
              <w:right w:type="dxa" w:w="150"/>
            </w:tcMar>
          </w:tcPr>
          <w:p>
            <w:r>
              <w:rPr>
                <w:b w:val="false"/>
                <w:bCs w:val="false"/>
                <w:color w:val="1A1A1A"/>
                <w:sz w:val="19"/>
                <w:szCs w:val="19"/>
              </w:rPr>
              <w:t xml:space="preserve">per eenheid</w:t>
            </w:r>
          </w:p>
        </w:tc>
      </w:tr>
      <w:tr>
        <w:tc>
          <w:tcPr>
            <w:tcW w:type="pct" w:w="22%"/>
            <w:tcMar>
              <w:top w:type="dxa" w:w="100"/>
              <w:left w:type="dxa" w:w="150"/>
              <w:bottom w:type="dxa" w:w="100"/>
              <w:right w:type="dxa" w:w="150"/>
            </w:tcMar>
          </w:tcPr>
          <w:p>
            <w:r>
              <w:rPr>
                <w:b w:val="false"/>
                <w:bCs w:val="false"/>
                <w:color w:val="1A1A1A"/>
                <w:sz w:val="19"/>
                <w:szCs w:val="19"/>
              </w:rPr>
              <w:t xml:space="preserve">eenheid</w:t>
            </w:r>
          </w:p>
        </w:tc>
        <w:tc>
          <w:tcPr>
            <w:tcW w:type="pct" w:w="15%"/>
            <w:tcMar>
              <w:top w:type="dxa" w:w="100"/>
              <w:left w:type="dxa" w:w="150"/>
              <w:bottom w:type="dxa" w:w="100"/>
              <w:right w:type="dxa" w:w="150"/>
            </w:tcMar>
          </w:tcPr>
          <w:p>
            <w:r>
              <w:rPr>
                <w:b w:val="false"/>
                <w:bCs w:val="false"/>
                <w:color w:val="1A1A1A"/>
                <w:sz w:val="19"/>
                <w:szCs w:val="19"/>
              </w:rPr>
              <w:t xml:space="preserve">string</w:t>
            </w:r>
          </w:p>
        </w:tc>
        <w:tc>
          <w:tcPr>
            <w:tcW w:type="pct" w:w="63%"/>
            <w:tcMar>
              <w:top w:type="dxa" w:w="100"/>
              <w:left w:type="dxa" w:w="150"/>
              <w:bottom w:type="dxa" w:w="100"/>
              <w:right w:type="dxa" w:w="150"/>
            </w:tcMar>
          </w:tcPr>
          <w:p>
            <w:r>
              <w:rPr>
                <w:b w:val="false"/>
                <w:bCs w:val="false"/>
                <w:color w:val="1A1A1A"/>
                <w:sz w:val="19"/>
                <w:szCs w:val="19"/>
              </w:rPr>
              <w:t xml:space="preserve">fles, blik, fust, etc.</w:t>
            </w:r>
          </w:p>
        </w:tc>
      </w:tr>
      <w:tr>
        <w:tc>
          <w:tcPr>
            <w:tcW w:type="pct" w:w="22%"/>
            <w:tcMar>
              <w:top w:type="dxa" w:w="100"/>
              <w:left w:type="dxa" w:w="150"/>
              <w:bottom w:type="dxa" w:w="100"/>
              <w:right w:type="dxa" w:w="150"/>
            </w:tcMar>
          </w:tcPr>
          <w:p>
            <w:r>
              <w:rPr>
                <w:b w:val="false"/>
                <w:bCs w:val="false"/>
                <w:color w:val="1A1A1A"/>
                <w:sz w:val="19"/>
                <w:szCs w:val="19"/>
              </w:rPr>
              <w:t xml:space="preserve">sku</w:t>
            </w:r>
          </w:p>
        </w:tc>
        <w:tc>
          <w:tcPr>
            <w:tcW w:type="pct" w:w="15%"/>
            <w:tcMar>
              <w:top w:type="dxa" w:w="100"/>
              <w:left w:type="dxa" w:w="150"/>
              <w:bottom w:type="dxa" w:w="100"/>
              <w:right w:type="dxa" w:w="150"/>
            </w:tcMar>
          </w:tcPr>
          <w:p>
            <w:r>
              <w:rPr>
                <w:b w:val="false"/>
                <w:bCs w:val="false"/>
                <w:color w:val="1A1A1A"/>
                <w:sz w:val="19"/>
                <w:szCs w:val="19"/>
              </w:rPr>
              <w:t xml:space="preserve">string</w:t>
            </w:r>
          </w:p>
        </w:tc>
        <w:tc>
          <w:tcPr>
            <w:tcW w:type="pct" w:w="63%"/>
            <w:tcMar>
              <w:top w:type="dxa" w:w="100"/>
              <w:left w:type="dxa" w:w="150"/>
              <w:bottom w:type="dxa" w:w="100"/>
              <w:right w:type="dxa" w:w="150"/>
            </w:tcMar>
          </w:tcPr>
          <w:p>
            <w:r>
              <w:rPr>
                <w:b w:val="false"/>
                <w:bCs w:val="false"/>
                <w:color w:val="1A1A1A"/>
                <w:sz w:val="19"/>
                <w:szCs w:val="19"/>
              </w:rPr>
              <w:t xml:space="preserve">optioneel in MVP</w:t>
            </w:r>
          </w:p>
        </w:tc>
      </w:tr>
    </w:tbl>
    <w:p>
      <w:pPr>
        <w:spacing w:before="200"/>
      </w:pPr>
    </w:p>
    <w:p>
      <w:pPr>
        <w:pStyle w:val="Heading3"/>
        <w:spacing w:after="100" w:before="200"/>
      </w:pPr>
      <w:r>
        <w:rPr>
          <w:b/>
          <w:bCs/>
          <w:color w:val="F6A304"/>
          <w:sz w:val="20"/>
          <w:szCs w:val="20"/>
        </w:rPr>
        <w:t xml:space="preserve">Evenement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350"/>
        <w:gridCol w:w="5670"/>
      </w:tblGrid>
      <w:tr>
        <w:tc>
          <w:tcPr>
            <w:tcW w:type="pct" w:w="22%"/>
            <w:shd w:fill="229D96" w:val="clear"/>
            <w:tcMar>
              <w:top w:type="dxa" w:w="100"/>
              <w:left w:type="dxa" w:w="150"/>
              <w:bottom w:type="dxa" w:w="100"/>
              <w:right w:type="dxa" w:w="150"/>
            </w:tcMar>
          </w:tcPr>
          <w:p>
            <w:r>
              <w:rPr>
                <w:b/>
                <w:bCs/>
                <w:color w:val="FFFFFF"/>
                <w:sz w:val="19"/>
                <w:szCs w:val="19"/>
              </w:rPr>
              <w:t xml:space="preserve">Veld</w:t>
            </w:r>
          </w:p>
        </w:tc>
        <w:tc>
          <w:tcPr>
            <w:tcW w:type="pct" w:w="15%"/>
            <w:shd w:fill="229D96" w:val="clear"/>
            <w:tcMar>
              <w:top w:type="dxa" w:w="100"/>
              <w:left w:type="dxa" w:w="150"/>
              <w:bottom w:type="dxa" w:w="100"/>
              <w:right w:type="dxa" w:w="150"/>
            </w:tcMar>
          </w:tcPr>
          <w:p>
            <w:r>
              <w:rPr>
                <w:b/>
                <w:bCs/>
                <w:color w:val="FFFFFF"/>
                <w:sz w:val="19"/>
                <w:szCs w:val="19"/>
              </w:rPr>
              <w:t xml:space="preserve">Type</w:t>
            </w:r>
          </w:p>
        </w:tc>
        <w:tc>
          <w:tcPr>
            <w:tcW w:type="pct" w:w="63%"/>
            <w:shd w:fill="229D96" w:val="clear"/>
            <w:tcMar>
              <w:top w:type="dxa" w:w="100"/>
              <w:left w:type="dxa" w:w="150"/>
              <w:bottom w:type="dxa" w:w="100"/>
              <w:right w:type="dxa" w:w="150"/>
            </w:tcMar>
          </w:tcPr>
          <w:p>
            <w:r>
              <w:rPr>
                <w:b/>
                <w:bCs/>
                <w:color w:val="FFFFFF"/>
                <w:sz w:val="19"/>
                <w:szCs w:val="19"/>
              </w:rPr>
              <w:t xml:space="preserve">Toelichting</w:t>
            </w:r>
          </w:p>
        </w:tc>
      </w:tr>
      <w:tr>
        <w:tc>
          <w:tcPr>
            <w:tcW w:type="pct" w:w="22%"/>
            <w:tcMar>
              <w:top w:type="dxa" w:w="100"/>
              <w:left w:type="dxa" w:w="150"/>
              <w:bottom w:type="dxa" w:w="100"/>
              <w:right w:type="dxa" w:w="150"/>
            </w:tcMar>
          </w:tcPr>
          <w:p>
            <w:r>
              <w:rPr>
                <w:b w:val="false"/>
                <w:bCs w:val="false"/>
                <w:color w:val="1A1A1A"/>
                <w:sz w:val="19"/>
                <w:szCs w:val="19"/>
              </w:rPr>
              <w:t xml:space="preserve">id</w:t>
            </w:r>
          </w:p>
        </w:tc>
        <w:tc>
          <w:tcPr>
            <w:tcW w:type="pct" w:w="15%"/>
            <w:tcMar>
              <w:top w:type="dxa" w:w="100"/>
              <w:left w:type="dxa" w:w="150"/>
              <w:bottom w:type="dxa" w:w="100"/>
              <w:right w:type="dxa" w:w="150"/>
            </w:tcMar>
          </w:tcPr>
          <w:p>
            <w:r>
              <w:rPr>
                <w:b w:val="false"/>
                <w:bCs w:val="false"/>
                <w:color w:val="1A1A1A"/>
                <w:sz w:val="19"/>
                <w:szCs w:val="19"/>
              </w:rPr>
              <w:t xml:space="preserve">string</w:t>
            </w:r>
          </w:p>
        </w:tc>
        <w:tc>
          <w:tcPr>
            <w:tcW w:type="pct" w:w="63%"/>
            <w:tcMar>
              <w:top w:type="dxa" w:w="100"/>
              <w:left w:type="dxa" w:w="150"/>
              <w:bottom w:type="dxa" w:w="100"/>
              <w:right w:type="dxa" w:w="150"/>
            </w:tcMar>
          </w:tcPr>
          <w:p>
            <w:r>
              <w:rPr>
                <w:b w:val="false"/>
                <w:bCs w:val="false"/>
                <w:color w:val="1A1A1A"/>
                <w:sz w:val="19"/>
                <w:szCs w:val="19"/>
              </w:rPr>
              <w:t xml:space="preserve">Uniek evenementnummer</w:t>
            </w:r>
          </w:p>
        </w:tc>
      </w:tr>
      <w:tr>
        <w:tc>
          <w:tcPr>
            <w:tcW w:type="pct" w:w="22%"/>
            <w:tcMar>
              <w:top w:type="dxa" w:w="100"/>
              <w:left w:type="dxa" w:w="150"/>
              <w:bottom w:type="dxa" w:w="100"/>
              <w:right w:type="dxa" w:w="150"/>
            </w:tcMar>
          </w:tcPr>
          <w:p>
            <w:r>
              <w:rPr>
                <w:b w:val="false"/>
                <w:bCs w:val="false"/>
                <w:color w:val="1A1A1A"/>
                <w:sz w:val="19"/>
                <w:szCs w:val="19"/>
              </w:rPr>
              <w:t xml:space="preserve">naam</w:t>
            </w:r>
          </w:p>
        </w:tc>
        <w:tc>
          <w:tcPr>
            <w:tcW w:type="pct" w:w="15%"/>
            <w:tcMar>
              <w:top w:type="dxa" w:w="100"/>
              <w:left w:type="dxa" w:w="150"/>
              <w:bottom w:type="dxa" w:w="100"/>
              <w:right w:type="dxa" w:w="150"/>
            </w:tcMar>
          </w:tcPr>
          <w:p>
            <w:r>
              <w:rPr>
                <w:b w:val="false"/>
                <w:bCs w:val="false"/>
                <w:color w:val="1A1A1A"/>
                <w:sz w:val="19"/>
                <w:szCs w:val="19"/>
              </w:rPr>
              <w:t xml:space="preserve">string</w:t>
            </w:r>
          </w:p>
        </w:tc>
        <w:tc>
          <w:tcPr>
            <w:tcW w:type="pct" w:w="63%"/>
            <w:tcMar>
              <w:top w:type="dxa" w:w="100"/>
              <w:left w:type="dxa" w:w="150"/>
              <w:bottom w:type="dxa" w:w="100"/>
              <w:right w:type="dxa" w:w="150"/>
            </w:tcMar>
          </w:tcPr>
          <w:p>
            <w:r>
              <w:rPr>
                <w:b w:val="false"/>
                <w:bCs w:val="false"/>
                <w:color w:val="1A1A1A"/>
                <w:sz w:val="19"/>
                <w:szCs w:val="19"/>
              </w:rPr>
              <w:t xml:space="preserve"/>
            </w:r>
          </w:p>
        </w:tc>
      </w:tr>
      <w:tr>
        <w:tc>
          <w:tcPr>
            <w:tcW w:type="pct" w:w="22%"/>
            <w:tcMar>
              <w:top w:type="dxa" w:w="100"/>
              <w:left w:type="dxa" w:w="150"/>
              <w:bottom w:type="dxa" w:w="100"/>
              <w:right w:type="dxa" w:w="150"/>
            </w:tcMar>
          </w:tcPr>
          <w:p>
            <w:r>
              <w:rPr>
                <w:b w:val="false"/>
                <w:bCs w:val="false"/>
                <w:color w:val="1A1A1A"/>
                <w:sz w:val="19"/>
                <w:szCs w:val="19"/>
              </w:rPr>
              <w:t xml:space="preserve">merk</w:t>
            </w:r>
          </w:p>
        </w:tc>
        <w:tc>
          <w:tcPr>
            <w:tcW w:type="pct" w:w="15%"/>
            <w:tcMar>
              <w:top w:type="dxa" w:w="100"/>
              <w:left w:type="dxa" w:w="150"/>
              <w:bottom w:type="dxa" w:w="100"/>
              <w:right w:type="dxa" w:w="150"/>
            </w:tcMar>
          </w:tcPr>
          <w:p>
            <w:r>
              <w:rPr>
                <w:b w:val="false"/>
                <w:bCs w:val="false"/>
                <w:color w:val="1A1A1A"/>
                <w:sz w:val="19"/>
                <w:szCs w:val="19"/>
              </w:rPr>
              <w:t xml:space="preserve">string</w:t>
            </w:r>
          </w:p>
        </w:tc>
        <w:tc>
          <w:tcPr>
            <w:tcW w:type="pct" w:w="63%"/>
            <w:tcMar>
              <w:top w:type="dxa" w:w="100"/>
              <w:left w:type="dxa" w:w="150"/>
              <w:bottom w:type="dxa" w:w="100"/>
              <w:right w:type="dxa" w:w="150"/>
            </w:tcMar>
          </w:tcPr>
          <w:p>
            <w:r>
              <w:rPr>
                <w:b w:val="false"/>
                <w:bCs w:val="false"/>
                <w:color w:val="1A1A1A"/>
                <w:sz w:val="19"/>
                <w:szCs w:val="19"/>
              </w:rPr>
              <w:t xml:space="preserve">"NBC" of "Green Village"</w:t>
            </w:r>
          </w:p>
        </w:tc>
      </w:tr>
      <w:tr>
        <w:tc>
          <w:tcPr>
            <w:tcW w:type="pct" w:w="22%"/>
            <w:tcMar>
              <w:top w:type="dxa" w:w="100"/>
              <w:left w:type="dxa" w:w="150"/>
              <w:bottom w:type="dxa" w:w="100"/>
              <w:right w:type="dxa" w:w="150"/>
            </w:tcMar>
          </w:tcPr>
          <w:p>
            <w:r>
              <w:rPr>
                <w:b w:val="false"/>
                <w:bCs w:val="false"/>
                <w:color w:val="1A1A1A"/>
                <w:sz w:val="19"/>
                <w:szCs w:val="19"/>
              </w:rPr>
              <w:t xml:space="preserve">datum</w:t>
            </w:r>
          </w:p>
        </w:tc>
        <w:tc>
          <w:tcPr>
            <w:tcW w:type="pct" w:w="15%"/>
            <w:tcMar>
              <w:top w:type="dxa" w:w="100"/>
              <w:left w:type="dxa" w:w="150"/>
              <w:bottom w:type="dxa" w:w="100"/>
              <w:right w:type="dxa" w:w="150"/>
            </w:tcMar>
          </w:tcPr>
          <w:p>
            <w:r>
              <w:rPr>
                <w:b w:val="false"/>
                <w:bCs w:val="false"/>
                <w:color w:val="1A1A1A"/>
                <w:sz w:val="19"/>
                <w:szCs w:val="19"/>
              </w:rPr>
              <w:t xml:space="preserve">date</w:t>
            </w:r>
          </w:p>
        </w:tc>
        <w:tc>
          <w:tcPr>
            <w:tcW w:type="pct" w:w="63%"/>
            <w:tcMar>
              <w:top w:type="dxa" w:w="100"/>
              <w:left w:type="dxa" w:w="150"/>
              <w:bottom w:type="dxa" w:w="100"/>
              <w:right w:type="dxa" w:w="150"/>
            </w:tcMar>
          </w:tcPr>
          <w:p>
            <w:r>
              <w:rPr>
                <w:b w:val="false"/>
                <w:bCs w:val="false"/>
                <w:color w:val="1A1A1A"/>
                <w:sz w:val="19"/>
                <w:szCs w:val="19"/>
              </w:rPr>
              <w:t xml:space="preserve"/>
            </w:r>
          </w:p>
        </w:tc>
      </w:tr>
      <w:tr>
        <w:tc>
          <w:tcPr>
            <w:tcW w:type="pct" w:w="22%"/>
            <w:tcMar>
              <w:top w:type="dxa" w:w="100"/>
              <w:left w:type="dxa" w:w="150"/>
              <w:bottom w:type="dxa" w:w="100"/>
              <w:right w:type="dxa" w:w="150"/>
            </w:tcMar>
          </w:tcPr>
          <w:p>
            <w:r>
              <w:rPr>
                <w:b w:val="false"/>
                <w:bCs w:val="false"/>
                <w:color w:val="1A1A1A"/>
                <w:sz w:val="19"/>
                <w:szCs w:val="19"/>
              </w:rPr>
              <w:t xml:space="preserve">opdrachtgever</w:t>
            </w:r>
          </w:p>
        </w:tc>
        <w:tc>
          <w:tcPr>
            <w:tcW w:type="pct" w:w="15%"/>
            <w:tcMar>
              <w:top w:type="dxa" w:w="100"/>
              <w:left w:type="dxa" w:w="150"/>
              <w:bottom w:type="dxa" w:w="100"/>
              <w:right w:type="dxa" w:w="150"/>
            </w:tcMar>
          </w:tcPr>
          <w:p>
            <w:r>
              <w:rPr>
                <w:b w:val="false"/>
                <w:bCs w:val="false"/>
                <w:color w:val="1A1A1A"/>
                <w:sz w:val="19"/>
                <w:szCs w:val="19"/>
              </w:rPr>
              <w:t xml:space="preserve">string</w:t>
            </w:r>
          </w:p>
        </w:tc>
        <w:tc>
          <w:tcPr>
            <w:tcW w:type="pct" w:w="63%"/>
            <w:tcMar>
              <w:top w:type="dxa" w:w="100"/>
              <w:left w:type="dxa" w:w="150"/>
              <w:bottom w:type="dxa" w:w="100"/>
              <w:right w:type="dxa" w:w="150"/>
            </w:tcMar>
          </w:tcPr>
          <w:p>
            <w:r>
              <w:rPr>
                <w:b w:val="false"/>
                <w:bCs w:val="false"/>
                <w:color w:val="1A1A1A"/>
                <w:sz w:val="19"/>
                <w:szCs w:val="19"/>
              </w:rPr>
              <w:t xml:space="preserve">optioneel</w:t>
            </w:r>
          </w:p>
        </w:tc>
      </w:tr>
      <w:tr>
        <w:tc>
          <w:tcPr>
            <w:tcW w:type="pct" w:w="22%"/>
            <w:tcMar>
              <w:top w:type="dxa" w:w="100"/>
              <w:left w:type="dxa" w:w="150"/>
              <w:bottom w:type="dxa" w:w="100"/>
              <w:right w:type="dxa" w:w="150"/>
            </w:tcMar>
          </w:tcPr>
          <w:p>
            <w:r>
              <w:rPr>
                <w:b w:val="false"/>
                <w:bCs w:val="false"/>
                <w:color w:val="1A1A1A"/>
                <w:sz w:val="19"/>
                <w:szCs w:val="19"/>
              </w:rPr>
              <w:t xml:space="preserve">status</w:t>
            </w:r>
          </w:p>
        </w:tc>
        <w:tc>
          <w:tcPr>
            <w:tcW w:type="pct" w:w="15%"/>
            <w:tcMar>
              <w:top w:type="dxa" w:w="100"/>
              <w:left w:type="dxa" w:w="150"/>
              <w:bottom w:type="dxa" w:w="100"/>
              <w:right w:type="dxa" w:w="150"/>
            </w:tcMar>
          </w:tcPr>
          <w:p>
            <w:r>
              <w:rPr>
                <w:b w:val="false"/>
                <w:bCs w:val="false"/>
                <w:color w:val="1A1A1A"/>
                <w:sz w:val="19"/>
                <w:szCs w:val="19"/>
              </w:rPr>
              <w:t xml:space="preserve">string</w:t>
            </w:r>
          </w:p>
        </w:tc>
        <w:tc>
          <w:tcPr>
            <w:tcW w:type="pct" w:w="63%"/>
            <w:tcMar>
              <w:top w:type="dxa" w:w="100"/>
              <w:left w:type="dxa" w:w="150"/>
              <w:bottom w:type="dxa" w:w="100"/>
              <w:right w:type="dxa" w:w="150"/>
            </w:tcMar>
          </w:tcPr>
          <w:p>
            <w:r>
              <w:rPr>
                <w:b w:val="false"/>
                <w:bCs w:val="false"/>
                <w:color w:val="1A1A1A"/>
                <w:sz w:val="19"/>
                <w:szCs w:val="19"/>
              </w:rPr>
              <w:t xml:space="preserve">Gepland / Actief / Afgerond</w:t>
            </w:r>
          </w:p>
        </w:tc>
      </w:tr>
      <w:tr>
        <w:tc>
          <w:tcPr>
            <w:tcW w:type="pct" w:w="22%"/>
            <w:tcMar>
              <w:top w:type="dxa" w:w="100"/>
              <w:left w:type="dxa" w:w="150"/>
              <w:bottom w:type="dxa" w:w="100"/>
              <w:right w:type="dxa" w:w="150"/>
            </w:tcMar>
          </w:tcPr>
          <w:p>
            <w:r>
              <w:rPr>
                <w:b w:val="false"/>
                <w:bCs w:val="false"/>
                <w:color w:val="1A1A1A"/>
                <w:sz w:val="19"/>
                <w:szCs w:val="19"/>
              </w:rPr>
              <w:t xml:space="preserve">omzet</w:t>
            </w:r>
          </w:p>
        </w:tc>
        <w:tc>
          <w:tcPr>
            <w:tcW w:type="pct" w:w="15%"/>
            <w:tcMar>
              <w:top w:type="dxa" w:w="100"/>
              <w:left w:type="dxa" w:w="150"/>
              <w:bottom w:type="dxa" w:w="100"/>
              <w:right w:type="dxa" w:w="150"/>
            </w:tcMar>
          </w:tcPr>
          <w:p>
            <w:r>
              <w:rPr>
                <w:b w:val="false"/>
                <w:bCs w:val="false"/>
                <w:color w:val="1A1A1A"/>
                <w:sz w:val="19"/>
                <w:szCs w:val="19"/>
              </w:rPr>
              <w:t xml:space="preserve">number</w:t>
            </w:r>
          </w:p>
        </w:tc>
        <w:tc>
          <w:tcPr>
            <w:tcW w:type="pct" w:w="63%"/>
            <w:tcMar>
              <w:top w:type="dxa" w:w="100"/>
              <w:left w:type="dxa" w:w="150"/>
              <w:bottom w:type="dxa" w:w="100"/>
              <w:right w:type="dxa" w:w="150"/>
            </w:tcMar>
          </w:tcPr>
          <w:p>
            <w:r>
              <w:rPr>
                <w:b w:val="false"/>
                <w:bCs w:val="false"/>
                <w:color w:val="1A1A1A"/>
                <w:sz w:val="19"/>
                <w:szCs w:val="19"/>
              </w:rPr>
              <w:t xml:space="preserve">handmatig ingevoerd</w:t>
            </w:r>
          </w:p>
        </w:tc>
      </w:tr>
    </w:tbl>
    <w:p>
      <w:pPr>
        <w:spacing w:before="200"/>
      </w:pPr>
    </w:p>
    <w:p>
      <w:pPr>
        <w:pStyle w:val="Heading3"/>
        <w:spacing w:after="100" w:before="200"/>
      </w:pPr>
      <w:r>
        <w:rPr>
          <w:b/>
          <w:bCs/>
          <w:color w:val="F6A304"/>
          <w:sz w:val="20"/>
          <w:szCs w:val="20"/>
        </w:rPr>
        <w:t xml:space="preserve">Boeking (mutatie)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350"/>
        <w:gridCol w:w="5670"/>
      </w:tblGrid>
      <w:tr>
        <w:tc>
          <w:tcPr>
            <w:tcW w:type="pct" w:w="22%"/>
            <w:shd w:fill="229D96" w:val="clear"/>
            <w:tcMar>
              <w:top w:type="dxa" w:w="100"/>
              <w:left w:type="dxa" w:w="150"/>
              <w:bottom w:type="dxa" w:w="100"/>
              <w:right w:type="dxa" w:w="150"/>
            </w:tcMar>
          </w:tcPr>
          <w:p>
            <w:r>
              <w:rPr>
                <w:b/>
                <w:bCs/>
                <w:color w:val="FFFFFF"/>
                <w:sz w:val="19"/>
                <w:szCs w:val="19"/>
              </w:rPr>
              <w:t xml:space="preserve">Veld</w:t>
            </w:r>
          </w:p>
        </w:tc>
        <w:tc>
          <w:tcPr>
            <w:tcW w:type="pct" w:w="15%"/>
            <w:shd w:fill="229D96" w:val="clear"/>
            <w:tcMar>
              <w:top w:type="dxa" w:w="100"/>
              <w:left w:type="dxa" w:w="150"/>
              <w:bottom w:type="dxa" w:w="100"/>
              <w:right w:type="dxa" w:w="150"/>
            </w:tcMar>
          </w:tcPr>
          <w:p>
            <w:r>
              <w:rPr>
                <w:b/>
                <w:bCs/>
                <w:color w:val="FFFFFF"/>
                <w:sz w:val="19"/>
                <w:szCs w:val="19"/>
              </w:rPr>
              <w:t xml:space="preserve">Type</w:t>
            </w:r>
          </w:p>
        </w:tc>
        <w:tc>
          <w:tcPr>
            <w:tcW w:type="pct" w:w="63%"/>
            <w:shd w:fill="229D96" w:val="clear"/>
            <w:tcMar>
              <w:top w:type="dxa" w:w="100"/>
              <w:left w:type="dxa" w:w="150"/>
              <w:bottom w:type="dxa" w:w="100"/>
              <w:right w:type="dxa" w:w="150"/>
            </w:tcMar>
          </w:tcPr>
          <w:p>
            <w:r>
              <w:rPr>
                <w:b/>
                <w:bCs/>
                <w:color w:val="FFFFFF"/>
                <w:sz w:val="19"/>
                <w:szCs w:val="19"/>
              </w:rPr>
              <w:t xml:space="preserve">Toelichting</w:t>
            </w:r>
          </w:p>
        </w:tc>
      </w:tr>
      <w:tr>
        <w:tc>
          <w:tcPr>
            <w:tcW w:type="pct" w:w="22%"/>
            <w:tcMar>
              <w:top w:type="dxa" w:w="100"/>
              <w:left w:type="dxa" w:w="150"/>
              <w:bottom w:type="dxa" w:w="100"/>
              <w:right w:type="dxa" w:w="150"/>
            </w:tcMar>
          </w:tcPr>
          <w:p>
            <w:r>
              <w:rPr>
                <w:b w:val="false"/>
                <w:bCs w:val="false"/>
                <w:color w:val="1A1A1A"/>
                <w:sz w:val="19"/>
                <w:szCs w:val="19"/>
              </w:rPr>
              <w:t xml:space="preserve">id</w:t>
            </w:r>
          </w:p>
        </w:tc>
        <w:tc>
          <w:tcPr>
            <w:tcW w:type="pct" w:w="15%"/>
            <w:tcMar>
              <w:top w:type="dxa" w:w="100"/>
              <w:left w:type="dxa" w:w="150"/>
              <w:bottom w:type="dxa" w:w="100"/>
              <w:right w:type="dxa" w:w="150"/>
            </w:tcMar>
          </w:tcPr>
          <w:p>
            <w:r>
              <w:rPr>
                <w:b w:val="false"/>
                <w:bCs w:val="false"/>
                <w:color w:val="1A1A1A"/>
                <w:sz w:val="19"/>
                <w:szCs w:val="19"/>
              </w:rPr>
              <w:t xml:space="preserve">string</w:t>
            </w:r>
          </w:p>
        </w:tc>
        <w:tc>
          <w:tcPr>
            <w:tcW w:type="pct" w:w="63%"/>
            <w:tcMar>
              <w:top w:type="dxa" w:w="100"/>
              <w:left w:type="dxa" w:w="150"/>
              <w:bottom w:type="dxa" w:w="100"/>
              <w:right w:type="dxa" w:w="150"/>
            </w:tcMar>
          </w:tcPr>
          <w:p>
            <w:r>
              <w:rPr>
                <w:b w:val="false"/>
                <w:bCs w:val="false"/>
                <w:color w:val="1A1A1A"/>
                <w:sz w:val="19"/>
                <w:szCs w:val="19"/>
              </w:rPr>
              <w:t xml:space="preserve">Uniek ID</w:t>
            </w:r>
          </w:p>
        </w:tc>
      </w:tr>
      <w:tr>
        <w:tc>
          <w:tcPr>
            <w:tcW w:type="pct" w:w="22%"/>
            <w:tcMar>
              <w:top w:type="dxa" w:w="100"/>
              <w:left w:type="dxa" w:w="150"/>
              <w:bottom w:type="dxa" w:w="100"/>
              <w:right w:type="dxa" w:w="150"/>
            </w:tcMar>
          </w:tcPr>
          <w:p>
            <w:r>
              <w:rPr>
                <w:b w:val="false"/>
                <w:bCs w:val="false"/>
                <w:color w:val="1A1A1A"/>
                <w:sz w:val="19"/>
                <w:szCs w:val="19"/>
              </w:rPr>
              <w:t xml:space="preserve">evenementId</w:t>
            </w:r>
          </w:p>
        </w:tc>
        <w:tc>
          <w:tcPr>
            <w:tcW w:type="pct" w:w="15%"/>
            <w:tcMar>
              <w:top w:type="dxa" w:w="100"/>
              <w:left w:type="dxa" w:w="150"/>
              <w:bottom w:type="dxa" w:w="100"/>
              <w:right w:type="dxa" w:w="150"/>
            </w:tcMar>
          </w:tcPr>
          <w:p>
            <w:r>
              <w:rPr>
                <w:b w:val="false"/>
                <w:bCs w:val="false"/>
                <w:color w:val="1A1A1A"/>
                <w:sz w:val="19"/>
                <w:szCs w:val="19"/>
              </w:rPr>
              <w:t xml:space="preserve">string</w:t>
            </w:r>
          </w:p>
        </w:tc>
        <w:tc>
          <w:tcPr>
            <w:tcW w:type="pct" w:w="63%"/>
            <w:tcMar>
              <w:top w:type="dxa" w:w="100"/>
              <w:left w:type="dxa" w:w="150"/>
              <w:bottom w:type="dxa" w:w="100"/>
              <w:right w:type="dxa" w:w="150"/>
            </w:tcMar>
          </w:tcPr>
          <w:p>
            <w:r>
              <w:rPr>
                <w:b w:val="false"/>
                <w:bCs w:val="false"/>
                <w:color w:val="1A1A1A"/>
                <w:sz w:val="19"/>
                <w:szCs w:val="19"/>
              </w:rPr>
              <w:t xml:space="preserve">koppeling naar Evenement</w:t>
            </w:r>
          </w:p>
        </w:tc>
      </w:tr>
      <w:tr>
        <w:tc>
          <w:tcPr>
            <w:tcW w:type="pct" w:w="22%"/>
            <w:tcMar>
              <w:top w:type="dxa" w:w="100"/>
              <w:left w:type="dxa" w:w="150"/>
              <w:bottom w:type="dxa" w:w="100"/>
              <w:right w:type="dxa" w:w="150"/>
            </w:tcMar>
          </w:tcPr>
          <w:p>
            <w:r>
              <w:rPr>
                <w:b w:val="false"/>
                <w:bCs w:val="false"/>
                <w:color w:val="1A1A1A"/>
                <w:sz w:val="19"/>
                <w:szCs w:val="19"/>
              </w:rPr>
              <w:t xml:space="preserve">productId</w:t>
            </w:r>
          </w:p>
        </w:tc>
        <w:tc>
          <w:tcPr>
            <w:tcW w:type="pct" w:w="15%"/>
            <w:tcMar>
              <w:top w:type="dxa" w:w="100"/>
              <w:left w:type="dxa" w:w="150"/>
              <w:bottom w:type="dxa" w:w="100"/>
              <w:right w:type="dxa" w:w="150"/>
            </w:tcMar>
          </w:tcPr>
          <w:p>
            <w:r>
              <w:rPr>
                <w:b w:val="false"/>
                <w:bCs w:val="false"/>
                <w:color w:val="1A1A1A"/>
                <w:sz w:val="19"/>
                <w:szCs w:val="19"/>
              </w:rPr>
              <w:t xml:space="preserve">string</w:t>
            </w:r>
          </w:p>
        </w:tc>
        <w:tc>
          <w:tcPr>
            <w:tcW w:type="pct" w:w="63%"/>
            <w:tcMar>
              <w:top w:type="dxa" w:w="100"/>
              <w:left w:type="dxa" w:w="150"/>
              <w:bottom w:type="dxa" w:w="100"/>
              <w:right w:type="dxa" w:w="150"/>
            </w:tcMar>
          </w:tcPr>
          <w:p>
            <w:r>
              <w:rPr>
                <w:b w:val="false"/>
                <w:bCs w:val="false"/>
                <w:color w:val="1A1A1A"/>
                <w:sz w:val="19"/>
                <w:szCs w:val="19"/>
              </w:rPr>
              <w:t xml:space="preserve">koppeling naar Product</w:t>
            </w:r>
          </w:p>
        </w:tc>
      </w:tr>
      <w:tr>
        <w:tc>
          <w:tcPr>
            <w:tcW w:type="pct" w:w="22%"/>
            <w:tcMar>
              <w:top w:type="dxa" w:w="100"/>
              <w:left w:type="dxa" w:w="150"/>
              <w:bottom w:type="dxa" w:w="100"/>
              <w:right w:type="dxa" w:w="150"/>
            </w:tcMar>
          </w:tcPr>
          <w:p>
            <w:r>
              <w:rPr>
                <w:b w:val="false"/>
                <w:bCs w:val="false"/>
                <w:color w:val="1A1A1A"/>
                <w:sz w:val="19"/>
                <w:szCs w:val="19"/>
              </w:rPr>
              <w:t xml:space="preserve">type</w:t>
            </w:r>
          </w:p>
        </w:tc>
        <w:tc>
          <w:tcPr>
            <w:tcW w:type="pct" w:w="15%"/>
            <w:tcMar>
              <w:top w:type="dxa" w:w="100"/>
              <w:left w:type="dxa" w:w="150"/>
              <w:bottom w:type="dxa" w:w="100"/>
              <w:right w:type="dxa" w:w="150"/>
            </w:tcMar>
          </w:tcPr>
          <w:p>
            <w:r>
              <w:rPr>
                <w:b w:val="false"/>
                <w:bCs w:val="false"/>
                <w:color w:val="1A1A1A"/>
                <w:sz w:val="19"/>
                <w:szCs w:val="19"/>
              </w:rPr>
              <w:t xml:space="preserve">string</w:t>
            </w:r>
          </w:p>
        </w:tc>
        <w:tc>
          <w:tcPr>
            <w:tcW w:type="pct" w:w="63%"/>
            <w:tcMar>
              <w:top w:type="dxa" w:w="100"/>
              <w:left w:type="dxa" w:w="150"/>
              <w:bottom w:type="dxa" w:w="100"/>
              <w:right w:type="dxa" w:w="150"/>
            </w:tcMar>
          </w:tcPr>
          <w:p>
            <w:r>
              <w:rPr>
                <w:b w:val="false"/>
                <w:bCs w:val="false"/>
                <w:color w:val="1A1A1A"/>
                <w:sz w:val="19"/>
                <w:szCs w:val="19"/>
              </w:rPr>
              <w:t xml:space="preserve">"uitgifte" of "retour"</w:t>
            </w:r>
          </w:p>
        </w:tc>
      </w:tr>
      <w:tr>
        <w:tc>
          <w:tcPr>
            <w:tcW w:type="pct" w:w="22%"/>
            <w:tcMar>
              <w:top w:type="dxa" w:w="100"/>
              <w:left w:type="dxa" w:w="150"/>
              <w:bottom w:type="dxa" w:w="100"/>
              <w:right w:type="dxa" w:w="150"/>
            </w:tcMar>
          </w:tcPr>
          <w:p>
            <w:r>
              <w:rPr>
                <w:b w:val="false"/>
                <w:bCs w:val="false"/>
                <w:color w:val="1A1A1A"/>
                <w:sz w:val="19"/>
                <w:szCs w:val="19"/>
              </w:rPr>
              <w:t xml:space="preserve">aantal</w:t>
            </w:r>
          </w:p>
        </w:tc>
        <w:tc>
          <w:tcPr>
            <w:tcW w:type="pct" w:w="15%"/>
            <w:tcMar>
              <w:top w:type="dxa" w:w="100"/>
              <w:left w:type="dxa" w:w="150"/>
              <w:bottom w:type="dxa" w:w="100"/>
              <w:right w:type="dxa" w:w="150"/>
            </w:tcMar>
          </w:tcPr>
          <w:p>
            <w:r>
              <w:rPr>
                <w:b w:val="false"/>
                <w:bCs w:val="false"/>
                <w:color w:val="1A1A1A"/>
                <w:sz w:val="19"/>
                <w:szCs w:val="19"/>
              </w:rPr>
              <w:t xml:space="preserve">number</w:t>
            </w:r>
          </w:p>
        </w:tc>
        <w:tc>
          <w:tcPr>
            <w:tcW w:type="pct" w:w="63%"/>
            <w:tcMar>
              <w:top w:type="dxa" w:w="100"/>
              <w:left w:type="dxa" w:w="150"/>
              <w:bottom w:type="dxa" w:w="100"/>
              <w:right w:type="dxa" w:w="150"/>
            </w:tcMar>
          </w:tcPr>
          <w:p>
            <w:r>
              <w:rPr>
                <w:b w:val="false"/>
                <w:bCs w:val="false"/>
                <w:color w:val="1A1A1A"/>
                <w:sz w:val="19"/>
                <w:szCs w:val="19"/>
              </w:rPr>
              <w:t xml:space="preserve"/>
            </w:r>
          </w:p>
        </w:tc>
      </w:tr>
      <w:tr>
        <w:tc>
          <w:tcPr>
            <w:tcW w:type="pct" w:w="22%"/>
            <w:tcMar>
              <w:top w:type="dxa" w:w="100"/>
              <w:left w:type="dxa" w:w="150"/>
              <w:bottom w:type="dxa" w:w="100"/>
              <w:right w:type="dxa" w:w="150"/>
            </w:tcMar>
          </w:tcPr>
          <w:p>
            <w:r>
              <w:rPr>
                <w:b w:val="false"/>
                <w:bCs w:val="false"/>
                <w:color w:val="1A1A1A"/>
                <w:sz w:val="19"/>
                <w:szCs w:val="19"/>
              </w:rPr>
              <w:t xml:space="preserve">datumTijd</w:t>
            </w:r>
          </w:p>
        </w:tc>
        <w:tc>
          <w:tcPr>
            <w:tcW w:type="pct" w:w="15%"/>
            <w:tcMar>
              <w:top w:type="dxa" w:w="100"/>
              <w:left w:type="dxa" w:w="150"/>
              <w:bottom w:type="dxa" w:w="100"/>
              <w:right w:type="dxa" w:w="150"/>
            </w:tcMar>
          </w:tcPr>
          <w:p>
            <w:r>
              <w:rPr>
                <w:b w:val="false"/>
                <w:bCs w:val="false"/>
                <w:color w:val="1A1A1A"/>
                <w:sz w:val="19"/>
                <w:szCs w:val="19"/>
              </w:rPr>
              <w:t xml:space="preserve">datetime</w:t>
            </w:r>
          </w:p>
        </w:tc>
        <w:tc>
          <w:tcPr>
            <w:tcW w:type="pct" w:w="63%"/>
            <w:tcMar>
              <w:top w:type="dxa" w:w="100"/>
              <w:left w:type="dxa" w:w="150"/>
              <w:bottom w:type="dxa" w:w="100"/>
              <w:right w:type="dxa" w:w="150"/>
            </w:tcMar>
          </w:tcPr>
          <w:p>
            <w:r>
              <w:rPr>
                <w:b w:val="false"/>
                <w:bCs w:val="false"/>
                <w:color w:val="1A1A1A"/>
                <w:sz w:val="19"/>
                <w:szCs w:val="19"/>
              </w:rPr>
              <w:t xml:space="preserve">automatisch</w:t>
            </w:r>
          </w:p>
        </w:tc>
      </w:tr>
    </w:tbl>
    <w:p>
      <w:pPr>
        <w:pStyle w:val="Heading1"/>
        <w:spacing w:after="200" w:before="400"/>
      </w:pPr>
      <w:r>
        <w:rPr>
          <w:b/>
          <w:bCs/>
          <w:color w:val="229D96"/>
          <w:sz w:val="32"/>
          <w:szCs w:val="32"/>
        </w:rPr>
        <w:t xml:space="preserve">5. Berekeningen</w:t>
      </w:r>
    </w:p>
    <w:p>
      <w:pPr>
        <w:spacing w:after="150"/>
      </w:pPr>
      <w:r>
        <w:rPr>
          <w:color w:val="1A1A1A"/>
          <w:sz w:val="21"/>
          <w:szCs w:val="21"/>
        </w:rPr>
        <w:t xml:space="preserve">Deze formules komen direct uit de oorspronkelijke specificatie en moeten exact zo geïmplementeerd worden:</w:t>
      </w:r>
    </w:p>
    <w:p>
      <w:pPr>
        <w:pStyle w:val="ListParagraph"/>
        <w:numPr>
          <w:ilvl w:val="0"/>
          <w:numId w:val="2"/>
        </w:numPr>
        <w:spacing w:after="80"/>
      </w:pPr>
      <w:r>
        <w:rPr>
          <w:color w:val="1A1A1A"/>
          <w:sz w:val="21"/>
          <w:szCs w:val="21"/>
        </w:rPr>
        <w:t xml:space="preserve">Werkelijk verbruik (per product) = Aantal uitgegeven − Aantal retour</w:t>
      </w:r>
    </w:p>
    <w:p>
      <w:pPr>
        <w:pStyle w:val="ListParagraph"/>
        <w:numPr>
          <w:ilvl w:val="0"/>
          <w:numId w:val="2"/>
        </w:numPr>
        <w:spacing w:after="80"/>
      </w:pPr>
      <w:r>
        <w:rPr>
          <w:color w:val="1A1A1A"/>
          <w:sz w:val="21"/>
          <w:szCs w:val="21"/>
        </w:rPr>
        <w:t xml:space="preserve">Kostprijs verbruik (per evenement) = Σ (werkelijk verbruik per product × inkoopprijs per product)</w:t>
      </w:r>
    </w:p>
    <w:p>
      <w:pPr>
        <w:pStyle w:val="ListParagraph"/>
        <w:numPr>
          <w:ilvl w:val="0"/>
          <w:numId w:val="2"/>
        </w:numPr>
        <w:spacing w:after="80"/>
      </w:pPr>
      <w:r>
        <w:rPr>
          <w:color w:val="1A1A1A"/>
          <w:sz w:val="21"/>
          <w:szCs w:val="21"/>
        </w:rPr>
        <w:t xml:space="preserve">Brutowinst = Omzet − Kostprijs verbruik</w:t>
      </w:r>
    </w:p>
    <w:p>
      <w:pPr>
        <w:pStyle w:val="ListParagraph"/>
        <w:numPr>
          <w:ilvl w:val="0"/>
          <w:numId w:val="2"/>
        </w:numPr>
        <w:spacing w:after="80"/>
      </w:pPr>
      <w:r>
        <w:rPr>
          <w:color w:val="1A1A1A"/>
          <w:sz w:val="21"/>
          <w:szCs w:val="21"/>
        </w:rPr>
        <w:t xml:space="preserve">Brutomarge (%) = (Brutowinst ÷ Omzet) × 100</w:t>
      </w:r>
    </w:p>
    <w:p>
      <w:pPr>
        <w:spacing w:after="150"/>
      </w:pPr>
      <w:r>
        <w:rPr>
          <w:color w:val="1A1A1A"/>
          <w:sz w:val="21"/>
          <w:szCs w:val="21"/>
        </w:rPr>
        <w:t xml:space="preserve">Let op: als Omzet nog niet is ingevuld (0 of leeg), moet de brutomarge duidelijk "nog niet beschikbaar" tonen in plaats van een deling door nul of een misleidend getal.</w:t>
      </w:r>
    </w:p>
    <w:p>
      <w:pPr>
        <w:pStyle w:val="Heading1"/>
        <w:spacing w:after="200" w:before="400"/>
      </w:pPr>
      <w:r>
        <w:rPr>
          <w:b/>
          <w:bCs/>
          <w:color w:val="229D96"/>
          <w:sz w:val="32"/>
          <w:szCs w:val="32"/>
        </w:rPr>
        <w:t xml:space="preserve">6. Voorbereiding op SEM (Smart Event Manager)</w:t>
      </w:r>
    </w:p>
    <w:p>
      <w:pPr>
        <w:spacing w:after="150"/>
      </w:pPr>
      <w:r>
        <w:rPr>
          <w:color w:val="1A1A1A"/>
          <w:sz w:val="21"/>
          <w:szCs w:val="21"/>
        </w:rPr>
        <w:t xml:space="preserve">SEM wordt het nieuwe reserveringssysteem voor alle evenementen. Op dit moment is de Connector API van SEM nog niet volledig uitgezocht — met name of client-content en bestanden op reserveringsniveau opgehaald kunnen worden.</w:t>
      </w:r>
    </w:p>
    <w:p>
      <w:pPr>
        <w:spacing w:after="150"/>
      </w:pPr>
      <w:r>
        <w:rPr>
          <w:color w:val="1A1A1A"/>
          <w:sz w:val="21"/>
          <w:szCs w:val="21"/>
        </w:rPr>
        <w:t xml:space="preserve">Om latere koppeling te vergemakkelijken, zonder er nu al op te bouwen:</w:t>
      </w:r>
    </w:p>
    <w:p>
      <w:pPr>
        <w:pStyle w:val="ListParagraph"/>
        <w:numPr>
          <w:ilvl w:val="0"/>
          <w:numId w:val="2"/>
        </w:numPr>
        <w:spacing w:after="80"/>
      </w:pPr>
      <w:r>
        <w:rPr>
          <w:color w:val="1A1A1A"/>
          <w:sz w:val="21"/>
          <w:szCs w:val="21"/>
        </w:rPr>
        <w:t xml:space="preserve">Gebruik voor het veld "id" van Evenement een string (geen intern volgnummer) — dit maakt het makkelijker om later een extern SEM-reserveringsnummer als ID te hergebruiken</w:t>
      </w:r>
    </w:p>
    <w:p>
      <w:pPr>
        <w:pStyle w:val="ListParagraph"/>
        <w:numPr>
          <w:ilvl w:val="0"/>
          <w:numId w:val="2"/>
        </w:numPr>
        <w:spacing w:after="80"/>
      </w:pPr>
      <w:r>
        <w:rPr>
          <w:color w:val="1A1A1A"/>
          <w:sz w:val="21"/>
          <w:szCs w:val="21"/>
        </w:rPr>
        <w:t xml:space="preserve">Houd evenementgegevens (naam, datum, merk, opdrachtgever, status) in een los, herkenbaar blok — dit zijn waarschijnlijk exact de velden die straks uit SEM komen</w:t>
      </w:r>
    </w:p>
    <w:p>
      <w:pPr>
        <w:pStyle w:val="ListParagraph"/>
        <w:numPr>
          <w:ilvl w:val="0"/>
          <w:numId w:val="2"/>
        </w:numPr>
        <w:spacing w:after="80"/>
      </w:pPr>
      <w:r>
        <w:rPr>
          <w:color w:val="1A1A1A"/>
          <w:sz w:val="21"/>
          <w:szCs w:val="21"/>
        </w:rPr>
        <w:t xml:space="preserve">Bouw geen eigen evenementenbeheer-logica die conflicteert met een toekomstige SEM-import (bijv. geen auto-gegenereerde evenementnummers met een eigen format)</w:t>
      </w:r>
    </w:p>
    <w:p>
      <w:pPr>
        <w:spacing w:after="150"/>
      </w:pPr>
      <w:r>
        <w:rPr>
          <w:color w:val="1A1A1A"/>
          <w:sz w:val="21"/>
          <w:szCs w:val="21"/>
        </w:rPr>
        <w:t xml:space="preserve">De daadwerkelijke SEM-koppeling (via de Connector API, zodra bevestigd) is geen onderdeel van dit bouwplan en volgt in een latere fase, mogelijk samen met een externe partij.</w:t>
      </w:r>
    </w:p>
    <w:p>
      <w:pPr>
        <w:pStyle w:val="Heading1"/>
        <w:spacing w:after="200" w:before="400"/>
      </w:pPr>
      <w:r>
        <w:rPr>
          <w:b/>
          <w:bCs/>
          <w:color w:val="229D96"/>
          <w:sz w:val="32"/>
          <w:szCs w:val="32"/>
        </w:rPr>
        <w:t xml:space="preserve">7. Technische aanpak voor Claude Code</w:t>
      </w:r>
    </w:p>
    <w:p>
      <w:pPr>
        <w:pStyle w:val="ListParagraph"/>
        <w:numPr>
          <w:ilvl w:val="0"/>
          <w:numId w:val="2"/>
        </w:numPr>
        <w:spacing w:after="80"/>
      </w:pPr>
      <w:r>
        <w:rPr>
          <w:color w:val="1A1A1A"/>
          <w:sz w:val="21"/>
          <w:szCs w:val="21"/>
        </w:rPr>
        <w:t xml:space="preserve">React-webapp, responsive (desktop + mobiele browser), geen native app</w:t>
      </w:r>
    </w:p>
    <w:p>
      <w:pPr>
        <w:pStyle w:val="ListParagraph"/>
        <w:numPr>
          <w:ilvl w:val="0"/>
          <w:numId w:val="2"/>
        </w:numPr>
        <w:spacing w:after="80"/>
      </w:pPr>
      <w:r>
        <w:rPr>
          <w:color w:val="1A1A1A"/>
          <w:sz w:val="21"/>
          <w:szCs w:val="21"/>
        </w:rPr>
        <w:t xml:space="preserve">State/opslag: demo-data bij opstarten; wijzigingen blijven bewaard binnen de sessie (geen productiedatabase in deze fase)</w:t>
      </w:r>
    </w:p>
    <w:p>
      <w:pPr>
        <w:pStyle w:val="ListParagraph"/>
        <w:numPr>
          <w:ilvl w:val="0"/>
          <w:numId w:val="2"/>
        </w:numPr>
        <w:spacing w:after="80"/>
      </w:pPr>
      <w:r>
        <w:rPr>
          <w:color w:val="1A1A1A"/>
          <w:sz w:val="21"/>
          <w:szCs w:val="21"/>
        </w:rPr>
        <w:t xml:space="preserve">Huisstijl: NBC teal #229D96, goud #F6A304, cream #F2E6DA, typografie Pockota (titels) / Area Normal (body) — indien de exacte design system-bestanden niet worden meegegeven, deze kernwaarden als uitgangspunt gebruiken</w:t>
      </w:r>
    </w:p>
    <w:p>
      <w:pPr>
        <w:pStyle w:val="ListParagraph"/>
        <w:numPr>
          <w:ilvl w:val="0"/>
          <w:numId w:val="2"/>
        </w:numPr>
        <w:spacing w:after="80"/>
      </w:pPr>
      <w:r>
        <w:rPr>
          <w:color w:val="1A1A1A"/>
          <w:sz w:val="21"/>
          <w:szCs w:val="21"/>
        </w:rPr>
        <w:t xml:space="preserve">Geen barcode-, camera- of hardwaretoegang bouwen</w:t>
      </w:r>
    </w:p>
    <w:p>
      <w:pPr>
        <w:pStyle w:val="ListParagraph"/>
        <w:numPr>
          <w:ilvl w:val="0"/>
          <w:numId w:val="2"/>
        </w:numPr>
        <w:spacing w:after="80"/>
      </w:pPr>
      <w:r>
        <w:rPr>
          <w:color w:val="1A1A1A"/>
          <w:sz w:val="21"/>
          <w:szCs w:val="21"/>
        </w:rPr>
        <w:t xml:space="preserve">Geen authenticatie/inlogsysteem in de MVP</w:t>
      </w:r>
    </w:p>
    <w:p>
      <w:pPr>
        <w:pStyle w:val="ListParagraph"/>
        <w:numPr>
          <w:ilvl w:val="0"/>
          <w:numId w:val="2"/>
        </w:numPr>
        <w:spacing w:after="80"/>
      </w:pPr>
      <w:r>
        <w:rPr>
          <w:color w:val="1A1A1A"/>
          <w:sz w:val="21"/>
          <w:szCs w:val="21"/>
        </w:rPr>
        <w:t xml:space="preserve">Code overzichtelijk en modulair opzetten, zodat een latere externe partij dit als referentie kan gebruiken — geen wegwerpprototype-kwaliteit</w:t>
      </w:r>
    </w:p>
    <w:p>
      <w:pPr>
        <w:pStyle w:val="Heading1"/>
        <w:spacing w:after="200" w:before="400"/>
      </w:pPr>
      <w:r>
        <w:rPr>
          <w:b/>
          <w:bCs/>
          <w:color w:val="229D96"/>
          <w:sz w:val="32"/>
          <w:szCs w:val="32"/>
        </w:rPr>
        <w:t xml:space="preserve">8. Fasering na de MVP</w:t>
      </w:r>
    </w:p>
    <w:p>
      <w:pPr>
        <w:pStyle w:val="ListParagraph"/>
        <w:numPr>
          <w:ilvl w:val="0"/>
          <w:numId w:val="3"/>
        </w:numPr>
        <w:spacing w:after="80"/>
      </w:pPr>
      <w:r>
        <w:rPr>
          <w:color w:val="1A1A1A"/>
          <w:sz w:val="21"/>
          <w:szCs w:val="21"/>
        </w:rPr>
        <w:t xml:space="preserve">MVP opleveren en laten testen door 1–2 Operations managers</w:t>
      </w:r>
    </w:p>
    <w:p>
      <w:pPr>
        <w:pStyle w:val="ListParagraph"/>
        <w:numPr>
          <w:ilvl w:val="0"/>
          <w:numId w:val="3"/>
        </w:numPr>
        <w:spacing w:after="80"/>
      </w:pPr>
      <w:r>
        <w:rPr>
          <w:color w:val="1A1A1A"/>
          <w:sz w:val="21"/>
          <w:szCs w:val="21"/>
        </w:rPr>
        <w:t xml:space="preserve">Feedback verwerken, scope aanscherpen op basis van echt gebruik</w:t>
      </w:r>
    </w:p>
    <w:p>
      <w:pPr>
        <w:pStyle w:val="ListParagraph"/>
        <w:numPr>
          <w:ilvl w:val="0"/>
          <w:numId w:val="3"/>
        </w:numPr>
        <w:spacing w:after="80"/>
      </w:pPr>
      <w:r>
        <w:rPr>
          <w:color w:val="1A1A1A"/>
          <w:sz w:val="21"/>
          <w:szCs w:val="21"/>
        </w:rPr>
        <w:t xml:space="preserve">Vragen aan Voorraedt beantwoorden over SEM Connector API (bestandstoegang per reservering, webhooks)</w:t>
      </w:r>
    </w:p>
    <w:p>
      <w:pPr>
        <w:pStyle w:val="ListParagraph"/>
        <w:numPr>
          <w:ilvl w:val="0"/>
          <w:numId w:val="3"/>
        </w:numPr>
        <w:spacing w:after="80"/>
      </w:pPr>
      <w:r>
        <w:rPr>
          <w:color w:val="1A1A1A"/>
          <w:sz w:val="21"/>
          <w:szCs w:val="21"/>
        </w:rPr>
        <w:t xml:space="preserve">Externe partij selecteren voor: productie-database, gebruikersrollen/rechten, barcode scanning, offline-sync mobiele app, SEM-koppeling</w:t>
      </w:r>
    </w:p>
    <w:p>
      <w:pPr>
        <w:pStyle w:val="ListParagraph"/>
        <w:numPr>
          <w:ilvl w:val="0"/>
          <w:numId w:val="3"/>
        </w:numPr>
        <w:spacing w:after="80"/>
      </w:pPr>
      <w:r>
        <w:rPr>
          <w:color w:val="1A1A1A"/>
          <w:sz w:val="21"/>
          <w:szCs w:val="21"/>
        </w:rPr>
        <w:t xml:space="preserve">MVP als functionele specificatie en bewijs van concept meegeven aan die partij</w:t>
      </w:r>
    </w:p>
    <w:p>
      <w:pPr>
        <w:pBdr>
          <w:bottom w:val="single" w:color="F6A304" w:sz="6"/>
        </w:pBdr>
        <w:spacing w:after="200" w:before="200"/>
      </w:pPr>
    </w:p>
    <w:p>
      <w:pPr>
        <w:spacing w:after="150"/>
      </w:pPr>
      <w:r>
        <w:rPr>
          <w:i/>
          <w:iCs/>
          <w:color w:val="555555"/>
          <w:sz w:val="18"/>
          <w:szCs w:val="18"/>
        </w:rPr>
        <w:t xml:space="preserve">Einde briefing. Dit document kan direct geüpload of geplakt worden in een nieuwe Claude Code-sessie.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2026-07-03T13:54:28.837Z</dcterms:created>
  <dcterms:modified xsi:type="dcterms:W3CDTF">2026-07-03T13:54:28.837Z</dcterms:modified>
</cp:coreProperties>
</file>

<file path=docProps/custom.xml><?xml version="1.0" encoding="utf-8"?>
<Properties xmlns="http://schemas.openxmlformats.org/officeDocument/2006/custom-properties" xmlns:vt="http://schemas.openxmlformats.org/officeDocument/2006/docPropsVTypes"/>
</file>