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Calibri" w:cs="Calibri" w:eastAsia="Calibri" w:hAnsi="Calibri"/>
          <w:b/>
          <w:bCs/>
          <w:color w:val="B8862E"/>
          <w:sz w:val="24"/>
          <w:szCs w:val="24"/>
        </w:rPr>
        <w:t xml:space="preserve">USAIndiaCFO / BNG Advisors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54"/>
          <w:szCs w:val="54"/>
        </w:rPr>
        <w:t xml:space="preserve">Tax Return Review Center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Box-Powered End-to-End Specification</w:t>
      </w:r>
    </w:p>
    <w:p>
      <w:pPr>
        <w:spacing w:after="420"/>
        <w:jc w:val="center"/>
      </w:pPr>
      <w:r>
        <w:rPr>
          <w:rFonts w:ascii="Calibri" w:cs="Calibri" w:eastAsia="Calibri" w:hAnsi="Calibri"/>
          <w:i/>
          <w:iCs/>
          <w:color w:val="2E6B4F"/>
          <w:sz w:val="20"/>
          <w:szCs w:val="20"/>
        </w:rPr>
        <w:t xml:space="preserve">Grounded in a live inspection of the firm's Box repository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Prepared for: Karan Narania, Technology &amp; Automation Lead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Prepared by: Akshay Nahar, CA · CPA — Co-Founder &amp; Chief Growth Officer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6 September 2026</w:t>
      </w:r>
    </w:p>
    <w:p>
      <w:pPr>
        <w:spacing w:before="600"/>
      </w:pPr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0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Verdict</w:t>
      </w:r>
    </w:p>
    <w:tbl>
      <w:tblPr>
        <w:tblW w:type="pct" w:w="100%"/>
        <w:tblBorders>
          <w:top w:val="single" w:color="B8862E" w:sz="6"/>
          <w:left w:val="single" w:color="B8862E" w:sz="6"/>
          <w:bottom w:val="single" w:color="B8862E" w:sz="6"/>
          <w:right w:val="single" w:color="B8862E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Box is already the system of record, and it is in better shape than expected.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folder convention is deterministic — Clients / alphabetical bucket / client name / Permanent Documents and Tax Years / YYYY / Internal Working, Tax Documents, Tax Return. It holds roughly two thousand clients and over 133,000 return PDFs, with a consistent file naming convention. This means the ingestion layer is a mapping exercise, not a data-modelling exercise. That is a significant saving.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Text extraction works, but not universally.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 pulled a complete 1040-NR out of Box as clean text — every form, every figure, plus a form inventory from the PDF bookmarks. I also hit a return where no text representation was available at all. The pipeline therefore needs a fallback ladder ending in a manual queue, never a silent gap.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One issue outranks every feature on the roadmap: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extracted text contains live Social Security numbers in clear text. Before this platform is opened to all partners, a redaction gate and an access model must exist. This is not a phase-two item.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1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What is actually in Box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700"/>
      </w:tblGrid>
      <w:tr>
        <w:trPr>
          <w:tblHeader/>
        </w:trP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 for the build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Deterministic folder convention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Clients → A-D / E-H / I-L / M-P / Q-S / T-Z / 0-9 → client → Permanent Documents + Tax Years → YYYY → Internal Working, Tax Documents, Tax Return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Folder resolution can be pure code. No AI needed to find a client's return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Scale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297 clients in the A-D bucket alone; search returned 133,003 files matching the return-copy naming pattern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Batch review is feasible; also means any per-file cost must be modelled before switching it on broadly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Consistent file naming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"YYYY Tax Return Documents (NAME - Client Copy).pdf", "Acknowledgement Receipt.pdf", "YYYY Signature Return Documents (NAME).pdf"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Document classification is a regex-and-rules job, not a model job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Individuals and entities share one convention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"Agarwal, Adiya" and "A3 Logics Inc" have identical internal structure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One ingestion path serves both 1040 and business returns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Permanent Documents encodes entity facts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BOI, Charter Documents, Owner Documents, Form W-8/W-9, EFTPS and bank details, per-state SOS and payroll folders, and a Compliance Calendar spreadsheet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This is the S0 and determination source. It is the difference between a real review and a form check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State footprint is in folder names, with status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"Home State- California SOS and Payroll Documents", "Maryland SOS (Dissolved) and Payroll Documents", "Texas Payroll (Account closed) &amp; SOS Documents", "NJ SoS and Payroll Registration"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Nexus and registration status are already recorded. S3-STATE can be seeded from this rather than asked from scratch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Tax Documents is rich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Bank Statement, Credit Card Statement, Financials, MIS, Payroll Returns &amp; Review, Payroll Summary, 1099 Working, Projected P&amp;L, Notices, CA_SOI Filings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S1 and S2 have real source material. The books connectors are valuable but not a blocker — the financials are already filed here</w:t>
            </w:r>
          </w:p>
        </w:tc>
      </w:tr>
      <w:tr>
        <w:tc>
          <w:tcPr>
            <w:tcW w:type="dxa" w:w="23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Foreign and Indian entities are in the same tree</w:t>
            </w:r>
          </w:p>
        </w:tc>
        <w:tc>
          <w:tcPr>
            <w:tcW w:type="dxa" w:w="4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Pvt Ltd, GmbH and BV entities sit alongside US LLCs and Inc; a separate India Docs folder exists at root</w:t>
            </w:r>
          </w:p>
        </w:tc>
        <w:tc>
          <w:tcPr>
            <w:tcW w:type="dxa" w:w="2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S3-INTL and S3-INDIA have a real population to test against, which the demo data never provided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C4C7C"/>
          <w:sz w:val="24"/>
          <w:szCs w:val="24"/>
        </w:rPr>
        <w:t xml:space="preserve">Data quality issues found in the sample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Duplicate client folders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"Agarwal, Nishant" and "Agarwal, Nishant(1)" both exist as separate folders</w:t>
            </w:r>
          </w:p>
        </w:tc>
        <w:tc>
          <w:tcPr>
            <w:tcW w:type="dxa" w:w="36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review run against the wrong folder silently reviews the wrong history. Needs a dedupe pass and a canonical client ID before batch review</w:t>
            </w:r>
          </w:p>
        </w:tc>
      </w:tr>
      <w:tr>
        <w:tc>
          <w:tcPr>
            <w:tcW w:type="dxa" w:w="1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Some returns have no text representation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2024 corporate client-copy PDF returned no markdown or text representation on repeated attempts, while the signature document from the same folder extracted perfectly</w:t>
            </w:r>
          </w:p>
        </w:tc>
        <w:tc>
          <w:tcPr>
            <w:tcW w:type="dxa" w:w="36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Confirms the fallback ladder is mandatory. Assume a meaningful minority of files need OCR</w:t>
            </w:r>
          </w:p>
        </w:tc>
      </w:tr>
      <w:tr>
        <w:tc>
          <w:tcPr>
            <w:tcW w:type="dxa" w:w="1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Year folders exist without content guarantees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Year folders run 2019 through 2026 for most clients regardless of whether work was done</w:t>
            </w:r>
          </w:p>
        </w:tc>
        <w:tc>
          <w:tcPr>
            <w:tcW w:type="dxa" w:w="36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Presence of a year folder is not evidence of a filing. The engine must check contents, not folder existence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2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Folder-to-stage mapping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is the core of the build. Every review stage already has a source folder. The mapping below should be encoded as configuration, so that a change in folder convention is a config edit rather than a code change.</w:t>
      </w:r>
    </w:p>
    <w:p>
      <w:pPr>
        <w:spacing w:after="200" w:before="160"/>
        <w:jc w:val="center"/>
      </w:pPr>
      <w:r>
        <w:drawing>
          <wp:inline distT="0" distB="0" distL="0" distR="0">
            <wp:extent cx="5762625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 1 — the existing Box structure, mapped to the review stages it feeds.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Reads from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establishes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S0 — Scope and identity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Permanent Documents / Charter Documents, BOI; Tax Return / signature forms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Legal name, EIN, entity type, state of formation, correct return type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S1 — Books and GAAP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Tax Documents / Financials, Bank Statement, Credit Card Statement, MIS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Trial balance integrity, reconciliations, classification sweep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S2 — Financial evaluation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Prior-year folders, Projected P&amp;L, MIS, Payroll Summary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Variance, ratios, cross-document matching against payroll and 1099 totals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S3-FED — Federal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Tax Return / client copy and signature documents; carryover worksheets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Form-level checks, tie-outs, carryforward continuity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S3-INTL — International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Permanent Documents / Form W-8 W-9, Owner Documents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Foreign owner determination, 5471/5472/8858/8865 triggers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S3-STATE — State and local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Permanent Documents / per-state SOS and payroll folders; CA_SOI Filings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Registered states, live versus dissolved, payroll registration by state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S3-INDIA — India symmetry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India Docs root folder; entity names indicating Pvt Ltd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ODI/FEMA mirror, Form 3CEB symmetry, Indian ITR consistency</w:t>
            </w:r>
          </w:p>
        </w:tc>
      </w:tr>
      <w:tr>
        <w:tc>
          <w:tcPr>
            <w:tcW w:type="dxa" w:w="18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S4 — Fixes and questions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of the above, plus Notices folders</w:t>
            </w:r>
          </w:p>
        </w:tc>
        <w:tc>
          <w:tcPr>
            <w:tcW w:type="dxa" w:w="37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Fix instructions, open questions, evidence pointers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3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Ingestion, extraction and the PII gate</w:t>
      </w:r>
    </w:p>
    <w:p>
      <w:pPr>
        <w:spacing w:after="200" w:before="160"/>
        <w:jc w:val="center"/>
      </w:pPr>
      <w:r>
        <w:drawing>
          <wp:inline distT="0" distB="0" distL="0" distR="0">
            <wp:extent cx="576262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 2 — ingestion pipeline. The redaction gate sits before the model, not after.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C4C7C"/>
          <w:sz w:val="24"/>
          <w:szCs w:val="24"/>
        </w:rPr>
        <w:t xml:space="preserve">The extraction ladder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Verified behaviour, not assumption. A 1040-NR client copy extracted cleanly — Form 1040-NR, Schedule 1, Schedule OI, Schedule E, Form 8995, Form 172, Form 8879 and the carryover worksheets, with figures intact. A corporate client copy from a different folder returned no representation at all on two attempts.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900"/>
      </w:tblGrid>
      <w:tr>
        <w:trPr>
          <w:tblHeader/>
        </w:trPr>
        <w:tc>
          <w:tcPr>
            <w:tcW w:type="dxa" w:w="25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it applies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5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 Box text or markdown representation</w:t>
            </w:r>
          </w:p>
        </w:tc>
        <w:tc>
          <w:tcPr>
            <w:tcW w:type="dxa" w:w="3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Default. Works on most Drake output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Prefer markdown — it preserves structure the model can use</w:t>
            </w:r>
          </w:p>
        </w:tc>
      </w:tr>
      <w:tr>
        <w:tc>
          <w:tcPr>
            <w:tcW w:type="dxa" w:w="25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 Retry once after a delay</w:t>
            </w:r>
          </w:p>
        </w:tc>
        <w:tc>
          <w:tcPr>
            <w:tcW w:type="dxa" w:w="3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Representation not yet generated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Box builds representations asynchronously; a single retry resolves some failures</w:t>
            </w:r>
          </w:p>
        </w:tc>
      </w:tr>
      <w:tr>
        <w:tc>
          <w:tcPr>
            <w:tcW w:type="dxa" w:w="25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3. OCR fallback</w:t>
            </w:r>
          </w:p>
        </w:tc>
        <w:tc>
          <w:tcPr>
            <w:tcW w:type="dxa" w:w="3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Flattened or scanned PDFs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Attach a confidence score per extracted field. Low confidence goes to step 4, never to the register</w:t>
            </w:r>
          </w:p>
        </w:tc>
      </w:tr>
      <w:tr>
        <w:tc>
          <w:tcPr>
            <w:tcW w:type="dxa" w:w="25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 Manual entry queue</w:t>
            </w:r>
          </w:p>
        </w:tc>
        <w:tc>
          <w:tcPr>
            <w:tcW w:type="dxa" w:w="3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Everything else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 unreadable return becomes a visible task with an owner. It must never become a silently incomplete review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A free capability worth exploiting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extracted text ends with the PDF's bookmark list — a complete inventory of the forms in the return. For the 1040-NR sample this read: engagement letter, client letter, 9325, 1040NR, Schedule 1, Schedule OI, Schedule E, 8995, 172, 8879, carryover worksheet, NOL worksheet, 172 AMT. That inventory answers the completeness question directly: compare forms present against forms the obligation engine says are required, and every gap is a finding. This is the cheapest high-value check in the whole system and should be built first.</w:t>
      </w:r>
    </w:p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4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Access and privacy — settle before opening to all partners</w:t>
      </w:r>
    </w:p>
    <w:tbl>
      <w:tblPr>
        <w:tblW w:type="pct" w:w="100%"/>
        <w:tblBorders>
          <w:top w:val="single" w:color="B4472B" w:sz="6"/>
          <w:left w:val="single" w:color="B4472B" w:sz="6"/>
          <w:bottom w:val="single" w:color="B4472B" w:sz="6"/>
          <w:right w:val="single" w:color="B447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E8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Verified during inspection: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text extracted from a client return contained the taxpayer's Social Security number in clear text, alongside address, bank routing fields and preparer PTIN. Any pipeline that sends raw extracted text to a model, writes it to logs, or caches it in a database is moving unmasked taxpayer identifiers into new systems. The Centre is about to be opened to every partner. This must be settled first.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Redaction before inference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Mask SSN, ITIN, EIN, bank account and routing numbers in extracted text before it reaches any model. Keep a token map so findings can still reference "the SSN on page 1" without carrying the value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PII in logs or prompts retained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Prompt and response logging must store redacted text only. This is the most common accidental leak in AI pipelines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Box permissions are the source of truth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Centre must respect existing Box collaboration permissions per client folder, not grant blanket access because a user is a partner. Box already records collaborations per item — read them, do not re-implement them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Access is per client, logged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Every open of a client's review is recorded with user, client, timestamp. A firm handling IRS representation should be able to answer who looked at what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Written-back artefacts inherit the client folder</w:t>
            </w:r>
          </w:p>
        </w:tc>
        <w:tc>
          <w:tcPr>
            <w:tcW w:type="dxa" w:w="70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a review summary is written back to Box, it goes inside that client's folder and inherits its permissions — never to a shared reviews folder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5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Output format for the Drake operator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brief is specific: a new preparer, including someone new to Drake, must be able to read a finding and make the change without interpretation. That means every finding carries the same five point-form lines, in the same order, every time. Prose paragraphs are the failure mode here.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C4C7C"/>
          <w:sz w:val="24"/>
          <w:szCs w:val="24"/>
        </w:rPr>
        <w:t xml:space="preserve">The five-line finding format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050"/>
        <w:gridCol w:w="4200"/>
      </w:tblGrid>
      <w:tr>
        <w:trPr>
          <w:tblHeader/>
        </w:trP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One sentence, plain English, naming the figure and the account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jargon without a gloss. "Member draws written up as a consulting expense", not "misclassified distribution"</w:t>
            </w:r>
          </w:p>
        </w:tc>
      </w:tr>
      <w:t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WHERE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Form, schedule and line, then the source account it came from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Always both. The operator needs the form location and the book location</w:t>
            </w:r>
          </w:p>
        </w:tc>
      </w:tr>
      <w:t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CHANGE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exact entry or edit, with the amount and its source document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Amounts come from a document, never estimated. Name the document</w:t>
            </w:r>
          </w:p>
        </w:tc>
      </w:tr>
      <w:t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THEN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line that must agree after the change is made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This is how the operator knows they are finished</w:t>
            </w:r>
          </w:p>
        </w:tc>
      </w:tr>
      <w:tr>
        <w:tc>
          <w:tcPr>
            <w:tcW w:type="dxa" w:w="11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WHY</w:t>
            </w:r>
          </w:p>
        </w:tc>
        <w:tc>
          <w:tcPr>
            <w:tcW w:type="dxa" w:w="405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One line</w:t>
            </w:r>
          </w:p>
        </w:tc>
        <w:tc>
          <w:tcPr>
            <w:tcW w:type="dxa" w:w="42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Keeps it short enough to be read. Detail belongs in the register, not the fix card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Worked example, in the required format</w:t>
      </w:r>
    </w:p>
    <w:tbl>
      <w:tblPr>
        <w:tblW w:type="pct" w:w="100%"/>
        <w:tblBorders>
          <w:top w:val="single" w:color="B8862E" w:sz="6"/>
          <w:left w:val="single" w:color="B8862E" w:sz="6"/>
          <w:bottom w:val="single" w:color="B8862E" w:sz="6"/>
          <w:right w:val="single" w:color="B8862E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S1-001  ·  Critical  ·  Bookkeeping issue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1"/>
                <w:szCs w:val="21"/>
              </w:rPr>
              <w:t xml:space="preserve">WHAT: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86,000 paid to a member is recorded in account 6300 Consulting fees. A payment to an owner is not a business expense.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1"/>
                <w:szCs w:val="21"/>
              </w:rPr>
              <w:t xml:space="preserve">WHERE: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Form 1065, page 1, line 20 (Other deductions) — from GL 6300 "Consulting fees".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1"/>
                <w:szCs w:val="21"/>
              </w:rPr>
              <w:t xml:space="preserve">CHANGE: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Move 86,000 out of 6300 and into distributions to members. If the operating agreement treats it as a guaranteed payment instead, enter it on the partner screen as a guaranteed payment so it reaches Schedule K line 4 and K-1 box 4.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1"/>
                <w:szCs w:val="21"/>
              </w:rPr>
              <w:t xml:space="preserve">THEN: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Confirm page 1 line 20 has fallen by 86,000, and that either M-2 distributions or Schedule K line 4 has risen by 86,000. Total assets must still equal liabilities plus capital.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4A5568"/>
                <w:sz w:val="21"/>
                <w:szCs w:val="21"/>
              </w:rPr>
              <w:t xml:space="preserve">WHY: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Partners cannot be paid as contractors by their own partnership. Left as is, ordinary income is understated by 86,000.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Two rules that keep this usable.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First, never instruct the operator to override a Drake computation — change the input, not the result; if Drake still disagrees, that is an escalation, not an override. Second, if the correct treatment depends on a fact nobody has (here, what the operating agreement says), the fix does not guess. It states both branches and raises a question, exactly as the CHANGE line above does.</w:t>
      </w:r>
    </w:p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6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Build backlog for the Box layer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Fourteen items. These sit alongside the roadmap already issued for the review engine itself; where they conflict, the privacy items here take precedence.</w:t>
      </w:r>
    </w:p>
    <w:p>
      <w:pPr>
        <w:shd w:fill="1B2A4A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Phase 1 — Privacy and access — before any partner-wide rollout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the PII redaction gate with a token map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Extracted return text carries live SSNs. Nothing else on this list matters if unmasked taxpayer identifiers are flowing into prompts, logs and caches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Enforce Box collaboration permissions per client folder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 partner-wide Centre must not silently widen access beyond what Box already grants. Read the existing collaborations rather than inventing a second permission model that will drift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Log every client-review access with user and timestamp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 firm that does IRS representation should be able to say who accessed which client file and when</w:t>
      </w:r>
    </w:p>
    <w:p>
      <w:pPr>
        <w:shd w:fill="1B2A4A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Phase 2 — Ingestion — make Box the front door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Encode the folder convention as configuration, not code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convention is deterministic today, but it will change. A config-driven resolver survives that; hard-coded paths do not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the document classifier from names and folders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File naming is highly consistent. Classification is a rules job — using a model here would be slower, costlier and less reliable than a regex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the four-step extraction ladder ending in a manual queue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One return in the sample had no text representation at all. Without an explicit fallback, that becomes a silently incomplete review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the form inventory check from PDF bookmarks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This is the cheapest completeness check available — forms present against forms required. It should ship before any deeper analysis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Seed S3-STATE from the per-state folders in Permanent Documents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state footprint, including dissolved and closed registrations, is already recorded. Reading it beats asking the team to re-enter it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Seed S3-INTL determination from Form W-8/W-9 and Owner Documents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foreign-owner determination has a real source. This is what makes the international modules run in the positive case rather than always concluding not applicable</w:t>
      </w:r>
    </w:p>
    <w:p>
      <w:pPr>
        <w:shd w:fill="1B2A4A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Phase 3 — Data quality — before batch review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a canonical client ID and dedupe pass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Duplicate folders exist. Reviewing the wrong folder produces a confident review of the wrong history, which is worse than no review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Treat folder existence as no evidence of a filing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Year folders run to 2026 for most clients regardless of activity. The engine must check contents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Reconcile the existing Compliance Calendar spreadsheets against the obligation engine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Clients already carry a compliance calendar in Permanent Documents. Where the two disagree, that is a finding about the firm's own records and worth surfacing early</w:t>
      </w:r>
    </w:p>
    <w:p>
      <w:pPr>
        <w:shd w:fill="1B2A4A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Phase 4 — Output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Implement the five-line finding format exactly as specified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Consistency is what lets a new Drake operator act without interpretation. Variation in format is variation in comprehension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Write the one-page summary back into the client's Box folder</w:t>
      </w:r>
    </w:p>
    <w:p>
      <w:pPr>
        <w:spacing w:after="12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4A5568"/>
          <w:sz w:val="19"/>
          <w:szCs w:val="19"/>
        </w:rPr>
        <w:t xml:space="preserve">Why: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Closes the loop — the review becomes part of the permanent client record, inheriting the right permissions, visible to whoever handles that client next year</w:t>
      </w:r>
    </w:p>
    <w:p>
      <w:r>
        <w:br w:type="page"/>
      </w:r>
    </w:p>
    <w:p>
      <w:pPr>
        <w:pStyle w:val="Heading1"/>
        <w:pBdr>
          <w:bottom w:val="single" w:color="B8862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B8862E"/>
          <w:sz w:val="30"/>
          <w:szCs w:val="30"/>
        </w:rPr>
        <w:t xml:space="preserve">7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Risks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Unmasked PII reaching models, logs or caches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 likelihood, high consequence. Confirmed present in extracted text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Item 1. Do not roll out to partners before this exists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Cost at scale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133,000 return files. A per-file model cost that is trivial in a demo is material across a client base this size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 the per-run cost before enabling batch review. Populate the cost-to-run field that is currently blank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Wrong-folder reviews from duplicates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 likelihood, high consequence — a clean review of the wrong entity year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Item 10, before any bulk run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Extraction failures treated as clean results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 likelihood, high consequence. One failure already observed in a small sample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Item 6. Absence of text must produce a task, never an empty finding set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Convention drift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Certain over time. Folder conventions always change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Item 4, plus a monitor that reports folders which no longer match the expected shape</w:t>
            </w:r>
          </w:p>
        </w:tc>
      </w:tr>
      <w:tr>
        <w:tc>
          <w:tcPr>
            <w:tcW w:type="dxa" w:w="24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Scope creep from partner-wide access</w:t>
            </w:r>
          </w:p>
        </w:tc>
        <w:tc>
          <w:tcPr>
            <w:tcW w:type="dxa" w:w="39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Every partner will want a variation. Karan is part-time</w:t>
            </w:r>
          </w:p>
        </w:tc>
        <w:tc>
          <w:tcPr>
            <w:tcW w:type="dxa" w:w="3100"/>
            <w:tcBorders>
              <w:top w:val="single" w:color="DADEE5" w:sz="4"/>
              <w:left w:val="single" w:color="DADEE5" w:sz="4"/>
              <w:bottom w:val="single" w:color="DADEE5" w:sz="4"/>
              <w:right w:val="single" w:color="DADEE5" w:sz="4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Ship the five-line format and the one-page summary unchanged for everyone first. Variations only after the base is proven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What I could not verify: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whether the Centre currently reads from Box at all, since the application's Settings and New review screens were unreachable during the last walkthrough. If a Box connection already exists, strike the items above it already implements rather than rebuilding them.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Page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4A6"/>
        <w:sz w:val="16"/>
        <w:szCs w:val="16"/>
      </w:rPr>
      <w:t xml:space="preserve"> of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EE5" w:sz="4" w:space="4"/>
      </w:pBdr>
      <w:jc w:val="right"/>
    </w:pPr>
    <w:r>
      <w:rPr>
        <w:rFonts w:ascii="Calibri" w:cs="Calibri" w:eastAsia="Calibri" w:hAnsi="Calibri"/>
        <w:color w:val="8A94A6"/>
        <w:sz w:val="16"/>
        <w:szCs w:val="16"/>
      </w:rPr>
      <w:t xml:space="preserve">USAIndiaCFO / BNG Advisors — Box-Powered Tax Return Review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e14e33e9a47e5fda17d0d2cee3b6b927c9f3e1.png"/><Relationship Id="rId10" Type="http://schemas.openxmlformats.org/officeDocument/2006/relationships/image" Target="media/5caba0a49b5e9fda000a20fd8227d4a598c288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2026-09-06T11:43:53.396Z</dcterms:created>
  <dcterms:modified xsi:type="dcterms:W3CDTF">2026-09-06T11:43:53.396Z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