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4057"/>
        </w:rPr>
        <w:t>SECTION 4.6.2 — End User Survey Results</w:t>
      </w:r>
    </w:p>
    <w:p>
      <w:pPr>
        <w:pStyle w:val="Heading2"/>
      </w:pPr>
      <w:r>
        <w:rPr>
          <w:color w:val="2E4057"/>
        </w:rPr>
        <w:t>Demographics (n =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Characteristic</w:t>
            </w:r>
          </w:p>
        </w:tc>
        <w:tc>
          <w:tcPr>
            <w:tcW w:type="dxa" w:w="468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Total respondents</w:t>
            </w:r>
          </w:p>
        </w:tc>
        <w:tc>
          <w:tcPr>
            <w:tcW w:type="dxa" w:w="468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Mean age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22.6 (SD = 5.3)</w:t>
            </w:r>
          </w:p>
        </w:tc>
      </w:tr>
      <w:tr>
        <w:tc>
          <w:tcPr>
            <w:tcW w:type="dxa" w:w="468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Age range</w:t>
            </w:r>
          </w:p>
        </w:tc>
        <w:tc>
          <w:tcPr>
            <w:tcW w:type="dxa" w:w="468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18–45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Male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(63.3%)</w:t>
            </w:r>
          </w:p>
        </w:tc>
      </w:tr>
      <w:tr>
        <w:tc>
          <w:tcPr>
            <w:tcW w:type="dxa" w:w="468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Female</w:t>
            </w:r>
          </w:p>
        </w:tc>
        <w:tc>
          <w:tcPr>
            <w:tcW w:type="dxa" w:w="468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(36.7%)</w:t>
            </w:r>
          </w:p>
        </w:tc>
      </w:tr>
    </w:tbl>
    <w:p/>
    <w:p>
      <w:r>
        <w:rPr>
          <w:rFonts w:ascii="Calibri" w:hAnsi="Calibri"/>
          <w:b/>
          <w:sz w:val="20"/>
        </w:rPr>
        <w:t>Table 4.11 — End User Survey Results by Dimension (n =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Items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No. of Items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SD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156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Engagement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Q1–Q7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3.58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0.49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Functionality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Q8–Q11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3.58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Aesthetics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Q12–Q15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0.47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Information Quality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Q16–Q20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0.47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Color Enhancement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Q21–Q23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Not applicable (CVD-specific; no CVD respondents in end user cohort)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CVD Simulation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Q24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3.70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0.47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Color Identification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Q25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3.60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Ishihara Screening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Q26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Multimodal Feedback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Q27–Q28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3.48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0.54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Acceptable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Career Awareness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Q29–Q30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0.54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5F7FA"/>
          </w:tcPr>
          <w:p>
            <w:r/>
            <w:r>
              <w:rPr>
                <w:rFonts w:ascii="Calibri" w:hAnsi="Calibri"/>
                <w:b/>
                <w:sz w:val="18"/>
              </w:rPr>
              <w:t>Overall Satisfaction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Q31–Q32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3.65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56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/>
            <w:r>
              <w:rPr>
                <w:rFonts w:ascii="Calibri" w:hAnsi="Calibri"/>
                <w:b/>
                <w:sz w:val="18"/>
              </w:rPr>
              <w:t>Grand Mean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Q1–Q32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scored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0.49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Highly Acceptable</w:t>
            </w:r>
          </w:p>
        </w:tc>
      </w:tr>
    </w:tbl>
    <w:p/>
    <w:p>
      <w:r>
        <w:rPr>
          <w:rFonts w:ascii="Calibri" w:hAnsi="Calibri"/>
          <w:i/>
          <w:color w:val="646464"/>
          <w:sz w:val="18"/>
        </w:rPr>
        <w:t>Interpretation: 3.50–4.00 = Highly Acceptable; 2.50–3.49 = Acceptable; 1.50–2.49 = Fairly Acceptable; 1.00–1.49 = Unacceptable</w:t>
      </w:r>
    </w:p>
    <w:p>
      <w:r>
        <w:rPr>
          <w:rFonts w:ascii="Calibri" w:hAnsi="Calibri"/>
          <w:b/>
          <w:sz w:val="20"/>
        </w:rPr>
        <w:t>Table 4.12 — Per-Item Results (n =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SD</w:t>
            </w:r>
          </w:p>
        </w:tc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4 (HA)</w:t>
            </w:r>
          </w:p>
        </w:tc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3 (A)</w:t>
            </w:r>
          </w:p>
        </w:tc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 (FA)</w:t>
            </w:r>
          </w:p>
        </w:tc>
        <w:tc>
          <w:tcPr>
            <w:tcW w:type="dxa" w:w="117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1 (U)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is enjoyable to use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Q2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is interesting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is customizable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3.40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Q4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allows interaction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3.43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Q5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app's target audience is clear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Q6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keeps me engaged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motivates continued use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performs as intended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3.73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0.45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Q9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Navigation is easy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Q10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Gestures are intuitive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3.43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Q11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app loads quickly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Q12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Design consistency is maintained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0.51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Q13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The layout is visually appealing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3.83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0.38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Q14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Graphic design is high quality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Q15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Visual design is professional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0.49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Q16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Information provided is accurate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Q17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Content quality is high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Q18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Descriptions are clear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Q19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Text is easy to read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Q20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Visual information is clear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Q21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Color correction improves discriminability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Q22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Previously difficult colors identifiable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Q23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Strength slider is comfortable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Q24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CVD Simulation aids perception understanding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3.70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Q25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Color Identifier correctly labels colors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Q26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Ishihara test is easy to understand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0.51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Q27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Vibration feedback helps identify changes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3.43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Q28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Audio labels are clear and helpful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Q29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Career awareness section is useful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Q30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Better understanding of CVD career impact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3.53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0.51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Q31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Would recommend ReColor to others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3.70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0.47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Q32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ReColor increased CVD awareness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/>
    <w:p>
      <w:r>
        <w:rPr>
          <w:rFonts w:ascii="Calibri" w:hAnsi="Calibri"/>
          <w:i/>
          <w:color w:val="646464"/>
          <w:sz w:val="18"/>
        </w:rPr>
        <w:t>Note: Items Q21–Q23 (Color Enhancement) are CVD-specific and were not applicable to the general end user cohort. These items will be scored separately with the CVD participant sub-cohort.</w:t>
      </w:r>
    </w:p>
    <w:p>
      <w:r>
        <w:rPr>
          <w:rFonts w:ascii="Calibri" w:hAnsi="Calibri"/>
          <w:b/>
          <w:sz w:val="20"/>
        </w:rPr>
        <w:t>Table 4.13 — Frequency Distribution of Responses (n = 870 item-responses)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12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3120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4 — Highly Acceptable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528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60.7%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3 — Acceptable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39.1%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2 — Fairly Acceptable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120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0.2%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8"/>
              </w:rPr>
              <w:t>1 — Unacceptable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0.0%</w:t>
            </w:r>
          </w:p>
        </w:tc>
      </w:tr>
    </w:tbl>
    <w:p/>
    <w:p>
      <w:r>
        <w:rPr>
          <w:rFonts w:ascii="Calibri" w:hAnsi="Calibri"/>
          <w:b/>
          <w:sz w:val="20"/>
        </w:rPr>
        <w:t>Table 4.14 — End User Survey Reliability (Cronbach’s Alpha)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872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Items Scored</w:t>
            </w:r>
          </w:p>
        </w:tc>
        <w:tc>
          <w:tcPr>
            <w:tcW w:type="dxa" w:w="1872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Cronbach’s α</w:t>
            </w:r>
          </w:p>
        </w:tc>
        <w:tc>
          <w:tcPr>
            <w:tcW w:type="dxa" w:w="1872"/>
            <w:shd w:val="clear" w:color="auto" w:fill="2E405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Reliability</w:t>
            </w:r>
          </w:p>
        </w:tc>
      </w:tr>
      <w:tr>
        <w:tc>
          <w:tcPr>
            <w:tcW w:type="dxa" w:w="1872"/>
            <w:shd w:val="clear" w:color="auto" w:fill="F5F7FA"/>
          </w:tcPr>
          <w:p>
            <w:r/>
            <w:r>
              <w:rPr>
                <w:rFonts w:ascii="Calibri" w:hAnsi="Calibri"/>
                <w:b w:val="0"/>
                <w:sz w:val="18"/>
              </w:rPr>
              <w:t>End User Survey</w:t>
            </w:r>
          </w:p>
        </w:tc>
        <w:tc>
          <w:tcPr>
            <w:tcW w:type="dxa" w:w="1872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(excl. Q21–23)</w:t>
            </w:r>
          </w:p>
        </w:tc>
        <w:tc>
          <w:tcPr>
            <w:tcW w:type="dxa" w:w="1872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872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0.9348</w:t>
            </w:r>
          </w:p>
        </w:tc>
        <w:tc>
          <w:tcPr>
            <w:tcW w:type="dxa" w:w="1872"/>
            <w:shd w:val="clear" w:color="auto"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Excellent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