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2E4057"/>
        </w:rPr>
        <w:t>Camera Pipeline Mathematical Simulation</w:t>
      </w:r>
    </w:p>
    <w:p>
      <w:pPr>
        <w:spacing w:after="120" w:line="280" w:lineRule="exact"/>
      </w:pPr>
      <w:r>
        <w:rPr>
          <w:rFonts w:ascii="Calibri" w:hAnsi="Calibri"/>
          <w:sz w:val="22"/>
        </w:rPr>
        <w:t>This section presents the mathematical foundations and implementation architecture of the three camera-based processing modes in the ReColor application: the Color Identifier, the CVD Simulation, and the Camera Enhancement. All three modes share a common capture infrastructure, sRGB gamma-correction pipeline, and a 10-class color taxonomy, which are described first as shared infrastructure before each mode-specific pipeline is detailed.</w:t>
      </w:r>
    </w:p>
    <w:p>
      <w:pPr>
        <w:pStyle w:val="Heading2"/>
      </w:pPr>
      <w:r>
        <w:rPr>
          <w:color w:val="2E4057"/>
        </w:rPr>
        <w:t>Shared Infrastructure</w:t>
      </w:r>
    </w:p>
    <w:p>
      <w:pPr>
        <w:pStyle w:val="Heading3"/>
      </w:pPr>
      <w:r>
        <w:rPr>
          <w:color w:val="2E4057"/>
        </w:rPr>
        <w:t>VisionCamera Capture Pipeline</w:t>
      </w:r>
    </w:p>
    <w:p>
      <w:pPr>
        <w:spacing w:after="120" w:line="280" w:lineRule="exact"/>
      </w:pPr>
      <w:r>
        <w:rPr>
          <w:rFonts w:ascii="Calibri" w:hAnsi="Calibri"/>
          <w:sz w:val="22"/>
        </w:rPr>
        <w:t>All three camera screens use the React Native VisionCamera library with an identical lifecycle: (1) useCameraPermission() requests the CAMERA permission from the host OS; (2) useCameraDevice(position) selects the back or front sensor; (3) useIsFocused() detects whether the screen is currently visible and deactivates the camera on navigation away; and (4) cameraRef.current.takePhoto() captures a high-resolution still frame returned as a file path. The captured photo is always processed off-preview — no live pixel manipulation occurs in JavaScript.</w:t>
      </w:r>
    </w:p>
    <w:p>
      <w:pPr>
        <w:pStyle w:val="Heading3"/>
      </w:pPr>
      <w:r>
        <w:rPr>
          <w:color w:val="2E4057"/>
        </w:rPr>
        <w:t>HAL Race Guard</w:t>
      </w:r>
    </w:p>
    <w:p>
      <w:pPr>
        <w:spacing w:after="120" w:line="280" w:lineRule="exact"/>
      </w:pPr>
      <w:r>
        <w:rPr>
          <w:rFonts w:ascii="Calibri" w:hAnsi="Calibri"/>
          <w:sz w:val="22"/>
        </w:rPr>
        <w:t>On Android, the Hardware Abstraction Layer (HAL) requires time to release a camera device when the previous screen unmounts. If the next camera screen activates before the HAL completes teardown, a native-side camera-open conflict crashes the application. Two guards address this: (1) a delayed activation timer (700–900 ms) that defers setCameraReady(true) until the HAL has released the previous device handle, and (2) a beforeRemove navigation listener that calls setCameraReady(false) before React removes the screen from the tree, giving the camera a clean teardown window.</w:t>
      </w:r>
    </w:p>
    <w:p>
      <w:pPr>
        <w:pStyle w:val="Heading3"/>
      </w:pPr>
      <w:r>
        <w:rPr>
          <w:color w:val="2E4057"/>
        </w:rPr>
        <w:t>sRGB Gamma Correction</w:t>
      </w:r>
    </w:p>
    <w:p>
      <w:pPr>
        <w:spacing w:after="120" w:line="280" w:lineRule="exact"/>
      </w:pPr>
      <w:r>
        <w:rPr>
          <w:rFonts w:ascii="Calibri" w:hAnsi="Calibri"/>
          <w:sz w:val="22"/>
        </w:rPr>
        <w:t>A JPEG pixel value of 128 does not represent half the physical luminance of 255. sRGB is a non-linear encoding optimized for perceptual uniformity (IEC 61966-2-1). Any algorithm that models physical light — Vienot cone response, CIELAB XYZ conversion, or daltonization error mathematics — must operate in linear space. Two gamma models are used:</w:t>
      </w:r>
    </w:p>
    <w:p>
      <w:pPr>
        <w:spacing w:after="120" w:line="280" w:lineRule="exact"/>
      </w:pPr>
      <w:r>
        <w:rPr>
          <w:rFonts w:ascii="Calibri" w:hAnsi="Calibri"/>
          <w:sz w:val="22"/>
        </w:rPr>
        <w:t>Exact piecewise (used in the Color Identifier for CIELAB conversion):</w:t>
      </w:r>
    </w:p>
    <w:p>
      <w:pPr>
        <w:jc w:val="center"/>
      </w:pPr>
      <w:r>
        <w:rPr>
          <w:rFonts w:ascii="Consolas" w:hAnsi="Consolas"/>
          <w:i/>
          <w:sz w:val="22"/>
        </w:rPr>
        <w:t>linear = c / 12.92                     if c ≤ 0.04045</w:t>
      </w:r>
    </w:p>
    <w:p>
      <w:pPr>
        <w:jc w:val="center"/>
      </w:pPr>
      <w:r>
        <w:rPr>
          <w:rFonts w:ascii="Consolas" w:hAnsi="Consolas"/>
          <w:i/>
          <w:sz w:val="22"/>
        </w:rPr>
        <w:t>linear = ((c + 0.055) / 1.055) ^ 2.4   otherwise</w:t>
      </w:r>
    </w:p>
    <w:p>
      <w:pPr>
        <w:spacing w:after="120" w:line="280" w:lineRule="exact"/>
      </w:pPr>
      <w:r>
        <w:rPr>
          <w:rFonts w:ascii="Calibri" w:hAnsi="Calibri"/>
          <w:sz w:val="22"/>
        </w:rPr>
        <w:t>Power-law approximation (used in the Simulation shader and Daltonization loop):</w:t>
      </w:r>
    </w:p>
    <w:p>
      <w:pPr>
        <w:jc w:val="center"/>
      </w:pPr>
      <w:r>
        <w:rPr>
          <w:rFonts w:ascii="Consolas" w:hAnsi="Consolas"/>
          <w:i/>
          <w:sz w:val="22"/>
        </w:rPr>
        <w:t>linear = c ^ 2.2          (sRGB → linear decode)</w:t>
      </w:r>
    </w:p>
    <w:p>
      <w:pPr>
        <w:jc w:val="center"/>
      </w:pPr>
      <w:r>
        <w:rPr>
          <w:rFonts w:ascii="Consolas" w:hAnsi="Consolas"/>
          <w:i/>
          <w:sz w:val="22"/>
        </w:rPr>
        <w:t>sRGB   = linear ^ 0.4545  (linear → sRGB encode; 0.4545 = 1/2.2)</w:t>
      </w:r>
    </w:p>
    <w:p>
      <w:pPr>
        <w:spacing w:after="120" w:line="280" w:lineRule="exact"/>
      </w:pPr>
      <w:r>
        <w:rPr>
          <w:rFonts w:ascii="Calibri" w:hAnsi="Calibri"/>
          <w:sz w:val="22"/>
        </w:rPr>
        <w:t>The approximation introduces less than 1% error relative to the exact piecewise curve but provides approximately 3× throughput on per-pixel loops processing hundreds of thousands of pixels. The Color Identifier uses the exact curve because CIELAB class assignment is sensitive to systematic bias; the Simulation and Enhancement pipelines use the approximation because output values are re-encoded to sRGB, absorbing residual error.</w:t>
      </w:r>
    </w:p>
    <w:p>
      <w:pPr>
        <w:pStyle w:val="Heading3"/>
      </w:pPr>
      <w:r>
        <w:rPr>
          <w:color w:val="2E4057"/>
        </w:rPr>
        <w:t>10-Class Color Taxonomy</w:t>
      </w:r>
    </w:p>
    <w:p>
      <w:pPr>
        <w:spacing w:after="120" w:line="280" w:lineRule="exact"/>
      </w:pPr>
      <w:r>
        <w:rPr>
          <w:rFonts w:ascii="Calibri" w:hAnsi="Calibri"/>
          <w:sz w:val="22"/>
        </w:rPr>
        <w:t>The application uses a fixed taxonomy of 10 perceptual color classes, defined in tensorHelper.js. All algorithms — color naming, CVD confusion sets, and daltonization gating — agree on these 10 names: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2E4057"/>
          </w:tcPr>
          <w:p>
            <w:pPr>
              <w:jc w:val="center"/>
            </w:pPr>
            <w:r/>
            <w:r>
              <w:rPr>
                <w:rFonts w:ascii="Calibri" w:hAnsi="Calibri"/>
                <w:b/>
                <w:color w:val="FFFFFF"/>
                <w:sz w:val="18"/>
              </w:rPr>
              <w:t>Class Index</w:t>
            </w:r>
          </w:p>
        </w:tc>
        <w:tc>
          <w:tcPr>
            <w:tcW w:type="dxa" w:w="4680"/>
            <w:shd w:val="clear" w:color="auto" w:fill="2E4057"/>
          </w:tcPr>
          <w:p>
            <w:pPr>
              <w:jc w:val="center"/>
            </w:pPr>
            <w:r/>
            <w:r>
              <w:rPr>
                <w:rFonts w:ascii="Calibri" w:hAnsi="Calibri"/>
                <w:b/>
                <w:color w:val="FFFFFF"/>
                <w:sz w:val="18"/>
              </w:rPr>
              <w:t>Class Name</w:t>
            </w:r>
          </w:p>
        </w:tc>
      </w:tr>
      <w:tr>
        <w:tc>
          <w:tcPr>
            <w:tcW w:type="dxa" w:w="4680"/>
            <w:shd w:val="clear" w:color="auto" w:fill="F5F7FA"/>
          </w:tcPr>
          <w:p>
            <w:r/>
            <w:r>
              <w:rPr>
                <w:rFonts w:ascii="Calibri" w:hAnsi="Calibri"/>
                <w:b w:val="0"/>
                <w:sz w:val="18"/>
              </w:rPr>
              <w:t>0</w:t>
            </w:r>
          </w:p>
        </w:tc>
        <w:tc>
          <w:tcPr>
            <w:tcW w:type="dxa" w:w="4680"/>
            <w:shd w:val="clear" w:color="auto" w:fill="F5F7FA"/>
          </w:tcPr>
          <w:p>
            <w:pPr>
              <w:jc w:val="center"/>
            </w:pPr>
            <w:r/>
            <w:r>
              <w:rPr>
                <w:rFonts w:ascii="Calibri" w:hAnsi="Calibri"/>
                <w:b w:val="0"/>
                <w:sz w:val="18"/>
              </w:rPr>
              <w:t>Neutral</w:t>
            </w:r>
          </w:p>
        </w:tc>
      </w:tr>
      <w:tr>
        <w:tc>
          <w:tcPr>
            <w:tcW w:type="dxa" w:w="4680"/>
            <w:shd w:val="clear" w:color="auto" w:fill="FFFFFF"/>
          </w:tcPr>
          <w:p>
            <w:r/>
            <w:r>
              <w:rPr>
                <w:rFonts w:ascii="Calibri" w:hAnsi="Calibri"/>
                <w:b w:val="0"/>
                <w:sz w:val="18"/>
              </w:rPr>
              <w:t>1</w:t>
            </w:r>
          </w:p>
        </w:tc>
        <w:tc>
          <w:tcPr>
            <w:tcW w:type="dxa" w:w="4680"/>
            <w:shd w:val="clear" w:color="auto" w:fill="FFFFFF"/>
          </w:tcPr>
          <w:p>
            <w:pPr>
              <w:jc w:val="center"/>
            </w:pPr>
            <w:r/>
            <w:r>
              <w:rPr>
                <w:rFonts w:ascii="Calibri" w:hAnsi="Calibri"/>
                <w:b w:val="0"/>
                <w:sz w:val="18"/>
              </w:rPr>
              <w:t>Red</w:t>
            </w:r>
          </w:p>
        </w:tc>
      </w:tr>
      <w:tr>
        <w:tc>
          <w:tcPr>
            <w:tcW w:type="dxa" w:w="4680"/>
            <w:shd w:val="clear" w:color="auto" w:fill="F5F7FA"/>
          </w:tcPr>
          <w:p>
            <w:r/>
            <w:r>
              <w:rPr>
                <w:rFonts w:ascii="Calibri" w:hAnsi="Calibri"/>
                <w:b w:val="0"/>
                <w:sz w:val="18"/>
              </w:rPr>
              <w:t>2</w:t>
            </w:r>
          </w:p>
        </w:tc>
        <w:tc>
          <w:tcPr>
            <w:tcW w:type="dxa" w:w="4680"/>
            <w:shd w:val="clear" w:color="auto" w:fill="F5F7FA"/>
          </w:tcPr>
          <w:p>
            <w:pPr>
              <w:jc w:val="center"/>
            </w:pPr>
            <w:r/>
            <w:r>
              <w:rPr>
                <w:rFonts w:ascii="Calibri" w:hAnsi="Calibri"/>
                <w:b w:val="0"/>
                <w:sz w:val="18"/>
              </w:rPr>
              <w:t>Orange</w:t>
            </w:r>
          </w:p>
        </w:tc>
      </w:tr>
      <w:tr>
        <w:tc>
          <w:tcPr>
            <w:tcW w:type="dxa" w:w="4680"/>
            <w:shd w:val="clear" w:color="auto" w:fill="FFFFFF"/>
          </w:tcPr>
          <w:p>
            <w:r/>
            <w:r>
              <w:rPr>
                <w:rFonts w:ascii="Calibri" w:hAnsi="Calibri"/>
                <w:b w:val="0"/>
                <w:sz w:val="18"/>
              </w:rPr>
              <w:t>3</w:t>
            </w:r>
          </w:p>
        </w:tc>
        <w:tc>
          <w:tcPr>
            <w:tcW w:type="dxa" w:w="4680"/>
            <w:shd w:val="clear" w:color="auto" w:fill="FFFFFF"/>
          </w:tcPr>
          <w:p>
            <w:pPr>
              <w:jc w:val="center"/>
            </w:pPr>
            <w:r/>
            <w:r>
              <w:rPr>
                <w:rFonts w:ascii="Calibri" w:hAnsi="Calibri"/>
                <w:b w:val="0"/>
                <w:sz w:val="18"/>
              </w:rPr>
              <w:t>Yellow</w:t>
            </w:r>
          </w:p>
        </w:tc>
      </w:tr>
      <w:tr>
        <w:tc>
          <w:tcPr>
            <w:tcW w:type="dxa" w:w="4680"/>
            <w:shd w:val="clear" w:color="auto" w:fill="F5F7FA"/>
          </w:tcPr>
          <w:p>
            <w:r/>
            <w:r>
              <w:rPr>
                <w:rFonts w:ascii="Calibri" w:hAnsi="Calibri"/>
                <w:b w:val="0"/>
                <w:sz w:val="18"/>
              </w:rPr>
              <w:t>4</w:t>
            </w:r>
          </w:p>
        </w:tc>
        <w:tc>
          <w:tcPr>
            <w:tcW w:type="dxa" w:w="4680"/>
            <w:shd w:val="clear" w:color="auto" w:fill="F5F7FA"/>
          </w:tcPr>
          <w:p>
            <w:pPr>
              <w:jc w:val="center"/>
            </w:pPr>
            <w:r/>
            <w:r>
              <w:rPr>
                <w:rFonts w:ascii="Calibri" w:hAnsi="Calibri"/>
                <w:b w:val="0"/>
                <w:sz w:val="18"/>
              </w:rPr>
              <w:t>Green</w:t>
            </w:r>
          </w:p>
        </w:tc>
      </w:tr>
      <w:tr>
        <w:tc>
          <w:tcPr>
            <w:tcW w:type="dxa" w:w="4680"/>
            <w:shd w:val="clear" w:color="auto" w:fill="FFFFFF"/>
          </w:tcPr>
          <w:p>
            <w:r/>
            <w:r>
              <w:rPr>
                <w:rFonts w:ascii="Calibri" w:hAnsi="Calibri"/>
                <w:b w:val="0"/>
                <w:sz w:val="18"/>
              </w:rPr>
              <w:t>5</w:t>
            </w:r>
          </w:p>
        </w:tc>
        <w:tc>
          <w:tcPr>
            <w:tcW w:type="dxa" w:w="4680"/>
            <w:shd w:val="clear" w:color="auto" w:fill="FFFFFF"/>
          </w:tcPr>
          <w:p>
            <w:pPr>
              <w:jc w:val="center"/>
            </w:pPr>
            <w:r/>
            <w:r>
              <w:rPr>
                <w:rFonts w:ascii="Calibri" w:hAnsi="Calibri"/>
                <w:b w:val="0"/>
                <w:sz w:val="18"/>
              </w:rPr>
              <w:t>Cyan</w:t>
            </w:r>
          </w:p>
        </w:tc>
      </w:tr>
      <w:tr>
        <w:tc>
          <w:tcPr>
            <w:tcW w:type="dxa" w:w="4680"/>
            <w:shd w:val="clear" w:color="auto" w:fill="F5F7FA"/>
          </w:tcPr>
          <w:p>
            <w:r/>
            <w:r>
              <w:rPr>
                <w:rFonts w:ascii="Calibri" w:hAnsi="Calibri"/>
                <w:b w:val="0"/>
                <w:sz w:val="18"/>
              </w:rPr>
              <w:t>6</w:t>
            </w:r>
          </w:p>
        </w:tc>
        <w:tc>
          <w:tcPr>
            <w:tcW w:type="dxa" w:w="4680"/>
            <w:shd w:val="clear" w:color="auto" w:fill="F5F7FA"/>
          </w:tcPr>
          <w:p>
            <w:pPr>
              <w:jc w:val="center"/>
            </w:pPr>
            <w:r/>
            <w:r>
              <w:rPr>
                <w:rFonts w:ascii="Calibri" w:hAnsi="Calibri"/>
                <w:b w:val="0"/>
                <w:sz w:val="18"/>
              </w:rPr>
              <w:t>Blue</w:t>
            </w:r>
          </w:p>
        </w:tc>
      </w:tr>
      <w:tr>
        <w:tc>
          <w:tcPr>
            <w:tcW w:type="dxa" w:w="4680"/>
            <w:shd w:val="clear" w:color="auto" w:fill="FFFFFF"/>
          </w:tcPr>
          <w:p>
            <w:r/>
            <w:r>
              <w:rPr>
                <w:rFonts w:ascii="Calibri" w:hAnsi="Calibri"/>
                <w:b w:val="0"/>
                <w:sz w:val="18"/>
              </w:rPr>
              <w:t>7</w:t>
            </w:r>
          </w:p>
        </w:tc>
        <w:tc>
          <w:tcPr>
            <w:tcW w:type="dxa" w:w="4680"/>
            <w:shd w:val="clear" w:color="auto" w:fill="FFFFFF"/>
          </w:tcPr>
          <w:p>
            <w:pPr>
              <w:jc w:val="center"/>
            </w:pPr>
            <w:r/>
            <w:r>
              <w:rPr>
                <w:rFonts w:ascii="Calibri" w:hAnsi="Calibri"/>
                <w:b w:val="0"/>
                <w:sz w:val="18"/>
              </w:rPr>
              <w:t>Violet</w:t>
            </w:r>
          </w:p>
        </w:tc>
      </w:tr>
      <w:tr>
        <w:tc>
          <w:tcPr>
            <w:tcW w:type="dxa" w:w="4680"/>
            <w:shd w:val="clear" w:color="auto" w:fill="F5F7FA"/>
          </w:tcPr>
          <w:p>
            <w:r/>
            <w:r>
              <w:rPr>
                <w:rFonts w:ascii="Calibri" w:hAnsi="Calibri"/>
                <w:b w:val="0"/>
                <w:sz w:val="18"/>
              </w:rPr>
              <w:t>8</w:t>
            </w:r>
          </w:p>
        </w:tc>
        <w:tc>
          <w:tcPr>
            <w:tcW w:type="dxa" w:w="4680"/>
            <w:shd w:val="clear" w:color="auto" w:fill="F5F7FA"/>
          </w:tcPr>
          <w:p>
            <w:pPr>
              <w:jc w:val="center"/>
            </w:pPr>
            <w:r/>
            <w:r>
              <w:rPr>
                <w:rFonts w:ascii="Calibri" w:hAnsi="Calibri"/>
                <w:b w:val="0"/>
                <w:sz w:val="18"/>
              </w:rPr>
              <w:t>Pink</w:t>
            </w:r>
          </w:p>
        </w:tc>
      </w:tr>
      <w:tr>
        <w:tc>
          <w:tcPr>
            <w:tcW w:type="dxa" w:w="4680"/>
            <w:shd w:val="clear" w:color="auto" w:fill="FFFFFF"/>
          </w:tcPr>
          <w:p>
            <w:r/>
            <w:r>
              <w:rPr>
                <w:rFonts w:ascii="Calibri" w:hAnsi="Calibri"/>
                <w:b w:val="0"/>
                <w:sz w:val="18"/>
              </w:rPr>
              <w:t>9</w:t>
            </w:r>
          </w:p>
        </w:tc>
        <w:tc>
          <w:tcPr>
            <w:tcW w:type="dxa" w:w="4680"/>
            <w:shd w:val="clear" w:color="auto" w:fill="FFFFFF"/>
          </w:tcPr>
          <w:p>
            <w:pPr>
              <w:jc w:val="center"/>
            </w:pPr>
            <w:r/>
            <w:r>
              <w:rPr>
                <w:rFonts w:ascii="Calibri" w:hAnsi="Calibri"/>
                <w:b w:val="0"/>
                <w:sz w:val="18"/>
              </w:rPr>
              <w:t>Brown</w:t>
            </w:r>
          </w:p>
        </w:tc>
      </w:tr>
    </w:tbl>
    <w:p/>
    <w:p>
      <w:r>
        <w:rPr>
          <w:rFonts w:ascii="Calibri" w:hAnsi="Calibri"/>
          <w:b/>
          <w:sz w:val="20"/>
        </w:rPr>
        <w:t>Table — CVD Confusion Class Sets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2E4057"/>
          </w:tcPr>
          <w:p>
            <w:pPr>
              <w:jc w:val="center"/>
            </w:pPr>
            <w:r/>
            <w:r>
              <w:rPr>
                <w:rFonts w:ascii="Calibri" w:hAnsi="Calibri"/>
                <w:b/>
                <w:color w:val="FFFFFF"/>
                <w:sz w:val="18"/>
              </w:rPr>
              <w:t>CVD Type</w:t>
            </w:r>
          </w:p>
        </w:tc>
        <w:tc>
          <w:tcPr>
            <w:tcW w:type="dxa" w:w="3120"/>
            <w:shd w:val="clear" w:color="auto" w:fill="2E4057"/>
          </w:tcPr>
          <w:p>
            <w:pPr>
              <w:jc w:val="center"/>
            </w:pPr>
            <w:r/>
            <w:r>
              <w:rPr>
                <w:rFonts w:ascii="Calibri" w:hAnsi="Calibri"/>
                <w:b/>
                <w:color w:val="FFFFFF"/>
                <w:sz w:val="18"/>
              </w:rPr>
              <w:t>Confused Classes</w:t>
            </w:r>
          </w:p>
        </w:tc>
        <w:tc>
          <w:tcPr>
            <w:tcW w:type="dxa" w:w="3120"/>
            <w:shd w:val="clear" w:color="auto" w:fill="2E4057"/>
          </w:tcPr>
          <w:p>
            <w:pPr>
              <w:jc w:val="center"/>
            </w:pPr>
            <w:r/>
            <w:r>
              <w:rPr>
                <w:rFonts w:ascii="Calibri" w:hAnsi="Calibri"/>
                <w:b/>
                <w:color w:val="FFFFFF"/>
                <w:sz w:val="18"/>
              </w:rPr>
              <w:t>Physiological Basis</w:t>
            </w:r>
          </w:p>
        </w:tc>
      </w:tr>
      <w:tr>
        <w:tc>
          <w:tcPr>
            <w:tcW w:type="dxa" w:w="3120"/>
            <w:shd w:val="clear" w:color="auto" w:fill="F5F7FA"/>
          </w:tcPr>
          <w:p>
            <w:r/>
            <w:r>
              <w:rPr>
                <w:rFonts w:ascii="Calibri" w:hAnsi="Calibri"/>
                <w:b w:val="0"/>
                <w:sz w:val="18"/>
              </w:rPr>
              <w:t>Protan</w:t>
            </w:r>
          </w:p>
        </w:tc>
        <w:tc>
          <w:tcPr>
            <w:tcW w:type="dxa" w:w="3120"/>
            <w:shd w:val="clear" w:color="auto" w:fill="F5F7FA"/>
          </w:tcPr>
          <w:p>
            <w:pPr>
              <w:jc w:val="center"/>
            </w:pPr>
            <w:r/>
            <w:r>
              <w:rPr>
                <w:rFonts w:ascii="Calibri" w:hAnsi="Calibri"/>
                <w:b w:val="0"/>
                <w:sz w:val="18"/>
              </w:rPr>
              <w:t>Red, Orange, Violet, Brown</w:t>
            </w:r>
          </w:p>
        </w:tc>
        <w:tc>
          <w:tcPr>
            <w:tcW w:type="dxa" w:w="3120"/>
            <w:shd w:val="clear" w:color="auto" w:fill="F5F7FA"/>
          </w:tcPr>
          <w:p>
            <w:pPr>
              <w:jc w:val="center"/>
            </w:pPr>
            <w:r/>
            <w:r>
              <w:rPr>
                <w:rFonts w:ascii="Calibri" w:hAnsi="Calibri"/>
                <w:b w:val="0"/>
                <w:sz w:val="18"/>
              </w:rPr>
              <w:t>Missing L-cone; reds collapse to dark</w:t>
            </w:r>
          </w:p>
        </w:tc>
      </w:tr>
      <w:tr>
        <w:tc>
          <w:tcPr>
            <w:tcW w:type="dxa" w:w="3120"/>
            <w:shd w:val="clear" w:color="auto" w:fill="FFFFFF"/>
          </w:tcPr>
          <w:p>
            <w:r/>
            <w:r>
              <w:rPr>
                <w:rFonts w:ascii="Calibri" w:hAnsi="Calibri"/>
                <w:b w:val="0"/>
                <w:sz w:val="18"/>
              </w:rPr>
              <w:t>Deutan</w:t>
            </w:r>
          </w:p>
        </w:tc>
        <w:tc>
          <w:tcPr>
            <w:tcW w:type="dxa" w:w="3120"/>
            <w:shd w:val="clear" w:color="auto" w:fill="FFFFFF"/>
          </w:tcPr>
          <w:p>
            <w:pPr>
              <w:jc w:val="center"/>
            </w:pPr>
            <w:r/>
            <w:r>
              <w:rPr>
                <w:rFonts w:ascii="Calibri" w:hAnsi="Calibri"/>
                <w:b w:val="0"/>
                <w:sz w:val="18"/>
              </w:rPr>
              <w:t>Red, Orange, Green, Brown</w:t>
            </w:r>
          </w:p>
        </w:tc>
        <w:tc>
          <w:tcPr>
            <w:tcW w:type="dxa" w:w="3120"/>
            <w:shd w:val="clear" w:color="auto" w:fill="FFFFFF"/>
          </w:tcPr>
          <w:p>
            <w:pPr>
              <w:jc w:val="center"/>
            </w:pPr>
            <w:r/>
            <w:r>
              <w:rPr>
                <w:rFonts w:ascii="Calibri" w:hAnsi="Calibri"/>
                <w:b w:val="0"/>
                <w:sz w:val="18"/>
              </w:rPr>
              <w:t>Missing M-cone; classic red-green axis</w:t>
            </w:r>
          </w:p>
        </w:tc>
      </w:tr>
      <w:tr>
        <w:tc>
          <w:tcPr>
            <w:tcW w:type="dxa" w:w="3120"/>
            <w:shd w:val="clear" w:color="auto" w:fill="F5F7FA"/>
          </w:tcPr>
          <w:p>
            <w:r/>
            <w:r>
              <w:rPr>
                <w:rFonts w:ascii="Calibri" w:hAnsi="Calibri"/>
                <w:b w:val="0"/>
                <w:sz w:val="18"/>
              </w:rPr>
              <w:t>Tritan</w:t>
            </w:r>
          </w:p>
        </w:tc>
        <w:tc>
          <w:tcPr>
            <w:tcW w:type="dxa" w:w="3120"/>
            <w:shd w:val="clear" w:color="auto" w:fill="F5F7FA"/>
          </w:tcPr>
          <w:p>
            <w:pPr>
              <w:jc w:val="center"/>
            </w:pPr>
            <w:r/>
            <w:r>
              <w:rPr>
                <w:rFonts w:ascii="Calibri" w:hAnsi="Calibri"/>
                <w:b w:val="0"/>
                <w:sz w:val="18"/>
              </w:rPr>
              <w:t>Yellow, Cyan, Blue, Pink</w:t>
            </w:r>
          </w:p>
        </w:tc>
        <w:tc>
          <w:tcPr>
            <w:tcW w:type="dxa" w:w="3120"/>
            <w:shd w:val="clear" w:color="auto" w:fill="F5F7FA"/>
          </w:tcPr>
          <w:p>
            <w:pPr>
              <w:jc w:val="center"/>
            </w:pPr>
            <w:r/>
            <w:r>
              <w:rPr>
                <w:rFonts w:ascii="Calibri" w:hAnsi="Calibri"/>
                <w:b w:val="0"/>
                <w:sz w:val="18"/>
              </w:rPr>
              <w:t>Missing S-cone; blue component lost</w:t>
            </w:r>
          </w:p>
        </w:tc>
      </w:tr>
    </w:tbl>
    <w:p/>
    <w:p>
      <w:pPr>
        <w:pStyle w:val="Heading2"/>
      </w:pPr>
      <w:r>
        <w:rPr>
          <w:color w:val="2E4057"/>
        </w:rPr>
        <w:t>Color Identifier Pipeline</w:t>
      </w:r>
    </w:p>
    <w:p>
      <w:pPr>
        <w:pStyle w:val="Heading3"/>
      </w:pPr>
      <w:r>
        <w:rPr>
          <w:color w:val="2E4057"/>
        </w:rPr>
        <w:t>Data Flow</w:t>
      </w:r>
    </w:p>
    <w:p>
      <w:pPr>
        <w:spacing w:after="120" w:line="280" w:lineRule="exact"/>
      </w:pPr>
      <w:r>
        <w:rPr>
          <w:rFonts w:ascii="Calibri" w:hAnsi="Calibri"/>
          <w:sz w:val="22"/>
        </w:rPr>
        <w:t>The Color Identifier is the only mode that does not use the freeze pattern. Each user tap produces a fresh one-shot identification: (1) the user taps the live camera preview; (2) a crosshair appears at the tap point; (3) the app captures a photo via takePhoto with qualityPrioritization: "speed"; (4) the image is resized to 640 px wide via ImageManipulator; (5) a cover-mode coordinate mapping converts screen-space tap coordinates to the correct image pixel, accounting for aspect-ratio cropping; (6) a 10×10 pixel neighborhood is averaged to reduce sensor noise by a factor of √100 = 10×; and (7) identifyColor(avgR, avgG, avgB) runs the CIELAB Delta-E nearest-neighbor classifier against 77 reference entries.</w:t>
      </w:r>
    </w:p>
    <w:p>
      <w:pPr>
        <w:pStyle w:val="Heading3"/>
      </w:pPr>
      <w:r>
        <w:rPr>
          <w:color w:val="2E4057"/>
        </w:rPr>
        <w:t>sRGB to CIELAB Conversion</w:t>
      </w:r>
    </w:p>
    <w:p>
      <w:pPr>
        <w:spacing w:after="120" w:line="280" w:lineRule="exact"/>
      </w:pPr>
      <w:r>
        <w:rPr>
          <w:rFonts w:ascii="Calibri" w:hAnsi="Calibri"/>
          <w:sz w:val="22"/>
        </w:rPr>
        <w:t>The conversion proceeds in three stages. First, sRGB gamma decoding converts pixel values to linear RGB using the exact IEC 61966-2-1 piecewise function. Second, linear RGB is transformed to CIE XYZ using the D65-referenced sRGB primary matrix:</w:t>
      </w:r>
    </w:p>
    <w:p>
      <w:pPr>
        <w:jc w:val="center"/>
      </w:pPr>
      <w:r>
        <w:rPr>
          <w:rFonts w:ascii="Consolas" w:hAnsi="Consolas"/>
          <w:i/>
          <w:sz w:val="22"/>
        </w:rPr>
        <w:t>X = (0.4124564·R + 0.3575761·G + 0.1804375·B) / 0.95047</w:t>
      </w:r>
    </w:p>
    <w:p>
      <w:pPr>
        <w:jc w:val="center"/>
      </w:pPr>
      <w:r>
        <w:rPr>
          <w:rFonts w:ascii="Consolas" w:hAnsi="Consolas"/>
          <w:i/>
          <w:sz w:val="22"/>
        </w:rPr>
        <w:t>Y = (0.2126729·R + 0.7151522·G + 0.0721750·B) / 1.00000</w:t>
      </w:r>
    </w:p>
    <w:p>
      <w:pPr>
        <w:jc w:val="center"/>
      </w:pPr>
      <w:r>
        <w:rPr>
          <w:rFonts w:ascii="Consolas" w:hAnsi="Consolas"/>
          <w:i/>
          <w:sz w:val="22"/>
        </w:rPr>
        <w:t>Z = (0.0193339·R + 0.0961964·G + 0.9503041·B) / 1.08883</w:t>
      </w:r>
    </w:p>
    <w:p>
      <w:pPr>
        <w:spacing w:after="120" w:line="280" w:lineRule="exact"/>
      </w:pPr>
      <w:r>
        <w:rPr>
          <w:rFonts w:ascii="Calibri" w:hAnsi="Calibri"/>
          <w:sz w:val="22"/>
        </w:rPr>
        <w:t>The division normalizes to the D65 illuminant (6504 K standard daylight) so that pure white (1,1,1) maps to XYZ = (1,1,1). Third, XYZ is converted to CIELAB using the nonlinear f-function:</w:t>
      </w:r>
    </w:p>
    <w:p>
      <w:pPr>
        <w:jc w:val="center"/>
      </w:pPr>
      <w:r>
        <w:rPr>
          <w:rFonts w:ascii="Consolas" w:hAnsi="Consolas"/>
          <w:i/>
          <w:sz w:val="22"/>
        </w:rPr>
        <w:t>f(t) = t^(1/3)              if t &gt; 0.008856</w:t>
      </w:r>
    </w:p>
    <w:p>
      <w:pPr>
        <w:jc w:val="center"/>
      </w:pPr>
      <w:r>
        <w:rPr>
          <w:rFonts w:ascii="Consolas" w:hAnsi="Consolas"/>
          <w:i/>
          <w:sz w:val="22"/>
        </w:rPr>
        <w:t>f(t) = 7.787·t + 16/116    otherwise</w:t>
      </w:r>
    </w:p>
    <w:p>
      <w:pPr>
        <w:jc w:val="center"/>
      </w:pPr>
      <w:r>
        <w:rPr>
          <w:rFonts w:ascii="Consolas" w:hAnsi="Consolas"/>
          <w:i/>
          <w:sz w:val="22"/>
        </w:rPr>
        <w:t>L* = 116·f(Y) − 16    a* = 500·(f(X) − f(Y))    b* = 200·(f(Y) − f(Z))</w:t>
      </w:r>
    </w:p>
    <w:p>
      <w:pPr>
        <w:spacing w:after="120" w:line="280" w:lineRule="exact"/>
      </w:pPr>
      <w:r>
        <w:rPr>
          <w:rFonts w:ascii="Calibri" w:hAnsi="Calibri"/>
          <w:sz w:val="22"/>
        </w:rPr>
        <w:t>CIELAB is a perceptually uniform color space: equal Euclidean distances correspond to approximately equal perceived color differences. This property is essential for nearest-neighbor color classification — RGB Euclidean distance does not match human perception.</w:t>
      </w:r>
    </w:p>
    <w:p>
      <w:pPr>
        <w:pStyle w:val="Heading3"/>
      </w:pPr>
      <w:r>
        <w:rPr>
          <w:color w:val="2E4057"/>
        </w:rPr>
        <w:t>Weighted Delta-E Distance</w:t>
      </w:r>
    </w:p>
    <w:p>
      <w:pPr>
        <w:jc w:val="center"/>
      </w:pPr>
      <w:r>
        <w:rPr>
          <w:rFonts w:ascii="Consolas" w:hAnsi="Consolas"/>
          <w:i/>
          <w:sz w:val="22"/>
        </w:rPr>
        <w:t>ΔE = √( 0.5·(L1−L2)² + (a1−a2)² + (b1−b2)² )</w:t>
      </w:r>
    </w:p>
    <w:p>
      <w:pPr>
        <w:spacing w:after="120" w:line="280" w:lineRule="exact"/>
      </w:pPr>
      <w:r>
        <w:rPr>
          <w:rFonts w:ascii="Calibri" w:hAnsi="Calibri"/>
          <w:sz w:val="22"/>
        </w:rPr>
        <w:t>Lightness (L*) is down-weighted by a factor of 0.5 because the color class name does not depend on brightness — "dark red" and "bright red" are both "Red." Without down-weighting, "dark red" would be classified closer to "dark green" than to "bright red," breaking the naming semantics. Hue and chroma axes (a*, b*) retain full weight as they determine color identity.</w:t>
      </w:r>
    </w:p>
    <w:p>
      <w:pPr>
        <w:pStyle w:val="Heading3"/>
      </w:pPr>
      <w:r>
        <w:rPr>
          <w:color w:val="2E4057"/>
        </w:rPr>
        <w:t>Chroma Gate</w:t>
      </w:r>
    </w:p>
    <w:p>
      <w:pPr>
        <w:jc w:val="center"/>
      </w:pPr>
      <w:r>
        <w:rPr>
          <w:rFonts w:ascii="Consolas" w:hAnsi="Consolas"/>
          <w:i/>
          <w:sz w:val="22"/>
        </w:rPr>
        <w:t>C* = √(a*² + b*²)</w:t>
      </w:r>
    </w:p>
    <w:p>
      <w:pPr>
        <w:spacing w:after="120" w:line="280" w:lineRule="exact"/>
      </w:pPr>
      <w:r>
        <w:rPr>
          <w:rFonts w:ascii="Calibri" w:hAnsi="Calibri"/>
          <w:sz w:val="22"/>
        </w:rPr>
        <w:t>If C* &lt; 10 (the neutral chroma threshold), the pixel is classified as truly achromatic and only neutral reference entries (black, gray, white) are considered. If C* ≥ 10, neutral entries are excluded and only chromatic classes compete. Without this gate, sensor noise in near-gray pixels (small random a*/b* values) would produce spurious chromatic classifications.</w:t>
      </w:r>
    </w:p>
    <w:p>
      <w:pPr>
        <w:pStyle w:val="Heading2"/>
      </w:pPr>
      <w:r>
        <w:rPr>
          <w:color w:val="2E4057"/>
        </w:rPr>
        <w:t>CVD Simulation Pipeline</w:t>
      </w:r>
    </w:p>
    <w:p>
      <w:pPr>
        <w:pStyle w:val="Heading3"/>
      </w:pPr>
      <w:r>
        <w:rPr>
          <w:color w:val="2E4057"/>
        </w:rPr>
        <w:t>Overview</w:t>
      </w:r>
    </w:p>
    <w:p>
      <w:pPr>
        <w:spacing w:after="120" w:line="280" w:lineRule="exact"/>
      </w:pPr>
      <w:r>
        <w:rPr>
          <w:rFonts w:ascii="Calibri" w:hAnsi="Calibri"/>
          <w:sz w:val="22"/>
        </w:rPr>
        <w:t>The CVD Simulation mode shows a normal-vision user what a person with color vision deficiency perceives. It is an educational tool, not an assistive one. The user freezes a photo via the snowflake button, then selects Protan, Deutan, or Tritan to apply the simulation. Switching between CVD types is instantaneous because it changes only GPU shader uniforms on the cached texture — no re-capture or re-decode occurs.</w:t>
      </w:r>
    </w:p>
    <w:p>
      <w:pPr>
        <w:pStyle w:val="Heading3"/>
      </w:pPr>
      <w:r>
        <w:rPr>
          <w:color w:val="2E4057"/>
        </w:rPr>
        <w:t>Vienot-Brettel-Mollon 1999 Simulation Matrices</w:t>
      </w:r>
    </w:p>
    <w:p>
      <w:pPr>
        <w:spacing w:after="120" w:line="280" w:lineRule="exact"/>
      </w:pPr>
      <w:r>
        <w:rPr>
          <w:rFonts w:ascii="Calibri" w:hAnsi="Calibri"/>
          <w:sz w:val="22"/>
        </w:rPr>
        <w:t>The simulation is performed by a 3×3 matrix multiplication that projects the trichromatic RGB signal onto the dichromatic confusion plane corresponding to the missing cone type. These matrices operate in linear RGB space and were derived by Vienot, Brettel, and Mollon (1999) from physiological LMS cone fundamentals.</w:t>
      </w:r>
    </w:p>
    <w:p>
      <w:r>
        <w:rPr>
          <w:rFonts w:ascii="Calibri" w:hAnsi="Calibri"/>
          <w:b/>
          <w:sz w:val="20"/>
        </w:rPr>
        <w:t>Table — Vienot 1999 Combined CVD Simulation Matrices (sRGB domain)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2E4057"/>
          </w:tcPr>
          <w:p>
            <w:pPr>
              <w:jc w:val="center"/>
            </w:pPr>
            <w:r/>
            <w:r>
              <w:rPr>
                <w:rFonts w:ascii="Calibri" w:hAnsi="Calibri"/>
                <w:b/>
                <w:color w:val="FFFFFF"/>
                <w:sz w:val="18"/>
              </w:rPr>
              <w:t>CVD Type</w:t>
            </w:r>
          </w:p>
        </w:tc>
        <w:tc>
          <w:tcPr>
            <w:tcW w:type="dxa" w:w="1872"/>
            <w:shd w:val="clear" w:color="auto" w:fill="2E4057"/>
          </w:tcPr>
          <w:p>
            <w:pPr>
              <w:jc w:val="center"/>
            </w:pPr>
            <w:r/>
            <w:r>
              <w:rPr>
                <w:rFonts w:ascii="Calibri" w:hAnsi="Calibri"/>
                <w:b/>
                <w:color w:val="FFFFFF"/>
                <w:sz w:val="18"/>
              </w:rPr>
              <w:t>Row</w:t>
            </w:r>
          </w:p>
        </w:tc>
        <w:tc>
          <w:tcPr>
            <w:tcW w:type="dxa" w:w="1872"/>
            <w:shd w:val="clear" w:color="auto" w:fill="2E4057"/>
          </w:tcPr>
          <w:p>
            <w:pPr>
              <w:jc w:val="center"/>
            </w:pPr>
            <w:r/>
            <w:r>
              <w:rPr>
                <w:rFonts w:ascii="Calibri" w:hAnsi="Calibri"/>
                <w:b/>
                <w:color w:val="FFFFFF"/>
                <w:sz w:val="18"/>
              </w:rPr>
              <w:t>R Coefficient</w:t>
            </w:r>
          </w:p>
        </w:tc>
        <w:tc>
          <w:tcPr>
            <w:tcW w:type="dxa" w:w="1872"/>
            <w:shd w:val="clear" w:color="auto" w:fill="2E4057"/>
          </w:tcPr>
          <w:p>
            <w:pPr>
              <w:jc w:val="center"/>
            </w:pPr>
            <w:r/>
            <w:r>
              <w:rPr>
                <w:rFonts w:ascii="Calibri" w:hAnsi="Calibri"/>
                <w:b/>
                <w:color w:val="FFFFFF"/>
                <w:sz w:val="18"/>
              </w:rPr>
              <w:t>G Coefficient</w:t>
            </w:r>
          </w:p>
        </w:tc>
        <w:tc>
          <w:tcPr>
            <w:tcW w:type="dxa" w:w="1872"/>
            <w:shd w:val="clear" w:color="auto" w:fill="2E4057"/>
          </w:tcPr>
          <w:p>
            <w:pPr>
              <w:jc w:val="center"/>
            </w:pPr>
            <w:r/>
            <w:r>
              <w:rPr>
                <w:rFonts w:ascii="Calibri" w:hAnsi="Calibri"/>
                <w:b/>
                <w:color w:val="FFFFFF"/>
                <w:sz w:val="18"/>
              </w:rPr>
              <w:t>B Coefficient</w:t>
            </w:r>
          </w:p>
        </w:tc>
      </w:tr>
      <w:tr>
        <w:tc>
          <w:tcPr>
            <w:tcW w:type="dxa" w:w="1872"/>
            <w:shd w:val="clear" w:color="auto" w:fill="F5F7FA"/>
          </w:tcPr>
          <w:p>
            <w:r/>
            <w:r>
              <w:rPr>
                <w:rFonts w:ascii="Calibri" w:hAnsi="Calibri"/>
                <w:b w:val="0"/>
                <w:sz w:val="18"/>
              </w:rPr>
              <w:t>Protan</w:t>
            </w:r>
          </w:p>
        </w:tc>
        <w:tc>
          <w:tcPr>
            <w:tcW w:type="dxa" w:w="1872"/>
            <w:shd w:val="clear" w:color="auto" w:fill="F5F7FA"/>
          </w:tcPr>
          <w:p>
            <w:pPr>
              <w:jc w:val="center"/>
            </w:pPr>
            <w:r/>
            <w:r>
              <w:rPr>
                <w:rFonts w:ascii="Calibri" w:hAnsi="Calibri"/>
                <w:b w:val="0"/>
                <w:sz w:val="18"/>
              </w:rPr>
              <w:t>R_out</w:t>
            </w:r>
          </w:p>
        </w:tc>
        <w:tc>
          <w:tcPr>
            <w:tcW w:type="dxa" w:w="1872"/>
            <w:shd w:val="clear" w:color="auto" w:fill="F5F7FA"/>
          </w:tcPr>
          <w:p>
            <w:pPr>
              <w:jc w:val="center"/>
            </w:pPr>
            <w:r/>
            <w:r>
              <w:rPr>
                <w:rFonts w:ascii="Calibri" w:hAnsi="Calibri"/>
                <w:b w:val="0"/>
                <w:sz w:val="18"/>
              </w:rPr>
              <w:t>0.152286</w:t>
            </w:r>
          </w:p>
        </w:tc>
        <w:tc>
          <w:tcPr>
            <w:tcW w:type="dxa" w:w="1872"/>
            <w:shd w:val="clear" w:color="auto" w:fill="F5F7FA"/>
          </w:tcPr>
          <w:p>
            <w:pPr>
              <w:jc w:val="center"/>
            </w:pPr>
            <w:r/>
            <w:r>
              <w:rPr>
                <w:rFonts w:ascii="Calibri" w:hAnsi="Calibri"/>
                <w:b w:val="0"/>
                <w:sz w:val="18"/>
              </w:rPr>
              <w:t>1.052583</w:t>
            </w:r>
          </w:p>
        </w:tc>
        <w:tc>
          <w:tcPr>
            <w:tcW w:type="dxa" w:w="1872"/>
            <w:shd w:val="clear" w:color="auto" w:fill="F5F7FA"/>
          </w:tcPr>
          <w:p>
            <w:pPr>
              <w:jc w:val="center"/>
            </w:pPr>
            <w:r/>
            <w:r>
              <w:rPr>
                <w:rFonts w:ascii="Calibri" w:hAnsi="Calibri"/>
                <w:b w:val="0"/>
                <w:sz w:val="18"/>
              </w:rPr>
              <w:t>−0.204868</w:t>
            </w:r>
          </w:p>
        </w:tc>
      </w:tr>
      <w:tr>
        <w:tc>
          <w:tcPr>
            <w:tcW w:type="dxa" w:w="1872"/>
            <w:shd w:val="clear" w:color="auto" w:fill="FFFFFF"/>
          </w:tcPr>
          <w:p>
            <w:r/>
            <w:r>
              <w:rPr>
                <w:rFonts w:ascii="Calibri" w:hAnsi="Calibri"/>
                <w:b w:val="0"/>
                <w:sz w:val="18"/>
              </w:rPr>
              <w:t>Protan</w:t>
            </w:r>
          </w:p>
        </w:tc>
        <w:tc>
          <w:tcPr>
            <w:tcW w:type="dxa" w:w="1872"/>
            <w:shd w:val="clear" w:color="auto" w:fill="FFFFFF"/>
          </w:tcPr>
          <w:p>
            <w:pPr>
              <w:jc w:val="center"/>
            </w:pPr>
            <w:r/>
            <w:r>
              <w:rPr>
                <w:rFonts w:ascii="Calibri" w:hAnsi="Calibri"/>
                <w:b w:val="0"/>
                <w:sz w:val="18"/>
              </w:rPr>
              <w:t>G_out</w:t>
            </w:r>
          </w:p>
        </w:tc>
        <w:tc>
          <w:tcPr>
            <w:tcW w:type="dxa" w:w="1872"/>
            <w:shd w:val="clear" w:color="auto" w:fill="FFFFFF"/>
          </w:tcPr>
          <w:p>
            <w:pPr>
              <w:jc w:val="center"/>
            </w:pPr>
            <w:r/>
            <w:r>
              <w:rPr>
                <w:rFonts w:ascii="Calibri" w:hAnsi="Calibri"/>
                <w:b w:val="0"/>
                <w:sz w:val="18"/>
              </w:rPr>
              <w:t>0.114503</w:t>
            </w:r>
          </w:p>
        </w:tc>
        <w:tc>
          <w:tcPr>
            <w:tcW w:type="dxa" w:w="1872"/>
            <w:shd w:val="clear" w:color="auto" w:fill="FFFFFF"/>
          </w:tcPr>
          <w:p>
            <w:pPr>
              <w:jc w:val="center"/>
            </w:pPr>
            <w:r/>
            <w:r>
              <w:rPr>
                <w:rFonts w:ascii="Calibri" w:hAnsi="Calibri"/>
                <w:b w:val="0"/>
                <w:sz w:val="18"/>
              </w:rPr>
              <w:t>0.786281</w:t>
            </w:r>
          </w:p>
        </w:tc>
        <w:tc>
          <w:tcPr>
            <w:tcW w:type="dxa" w:w="1872"/>
            <w:shd w:val="clear" w:color="auto" w:fill="FFFFFF"/>
          </w:tcPr>
          <w:p>
            <w:pPr>
              <w:jc w:val="center"/>
            </w:pPr>
            <w:r/>
            <w:r>
              <w:rPr>
                <w:rFonts w:ascii="Calibri" w:hAnsi="Calibri"/>
                <w:b w:val="0"/>
                <w:sz w:val="18"/>
              </w:rPr>
              <w:t>0.099216</w:t>
            </w:r>
          </w:p>
        </w:tc>
      </w:tr>
      <w:tr>
        <w:tc>
          <w:tcPr>
            <w:tcW w:type="dxa" w:w="1872"/>
            <w:shd w:val="clear" w:color="auto" w:fill="F5F7FA"/>
          </w:tcPr>
          <w:p>
            <w:r/>
            <w:r>
              <w:rPr>
                <w:rFonts w:ascii="Calibri" w:hAnsi="Calibri"/>
                <w:b w:val="0"/>
                <w:sz w:val="18"/>
              </w:rPr>
              <w:t>Protan</w:t>
            </w:r>
          </w:p>
        </w:tc>
        <w:tc>
          <w:tcPr>
            <w:tcW w:type="dxa" w:w="1872"/>
            <w:shd w:val="clear" w:color="auto" w:fill="F5F7FA"/>
          </w:tcPr>
          <w:p>
            <w:pPr>
              <w:jc w:val="center"/>
            </w:pPr>
            <w:r/>
            <w:r>
              <w:rPr>
                <w:rFonts w:ascii="Calibri" w:hAnsi="Calibri"/>
                <w:b w:val="0"/>
                <w:sz w:val="18"/>
              </w:rPr>
              <w:t>B_out</w:t>
            </w:r>
          </w:p>
        </w:tc>
        <w:tc>
          <w:tcPr>
            <w:tcW w:type="dxa" w:w="1872"/>
            <w:shd w:val="clear" w:color="auto" w:fill="F5F7FA"/>
          </w:tcPr>
          <w:p>
            <w:pPr>
              <w:jc w:val="center"/>
            </w:pPr>
            <w:r/>
            <w:r>
              <w:rPr>
                <w:rFonts w:ascii="Calibri" w:hAnsi="Calibri"/>
                <w:b w:val="0"/>
                <w:sz w:val="18"/>
              </w:rPr>
              <w:t>−0.003882</w:t>
            </w:r>
          </w:p>
        </w:tc>
        <w:tc>
          <w:tcPr>
            <w:tcW w:type="dxa" w:w="1872"/>
            <w:shd w:val="clear" w:color="auto" w:fill="F5F7FA"/>
          </w:tcPr>
          <w:p>
            <w:pPr>
              <w:jc w:val="center"/>
            </w:pPr>
            <w:r/>
            <w:r>
              <w:rPr>
                <w:rFonts w:ascii="Calibri" w:hAnsi="Calibri"/>
                <w:b w:val="0"/>
                <w:sz w:val="18"/>
              </w:rPr>
              <w:t>−0.048116</w:t>
            </w:r>
          </w:p>
        </w:tc>
        <w:tc>
          <w:tcPr>
            <w:tcW w:type="dxa" w:w="1872"/>
            <w:shd w:val="clear" w:color="auto" w:fill="F5F7FA"/>
          </w:tcPr>
          <w:p>
            <w:pPr>
              <w:jc w:val="center"/>
            </w:pPr>
            <w:r/>
            <w:r>
              <w:rPr>
                <w:rFonts w:ascii="Calibri" w:hAnsi="Calibri"/>
                <w:b w:val="0"/>
                <w:sz w:val="18"/>
              </w:rPr>
              <w:t>1.051998</w:t>
            </w:r>
          </w:p>
        </w:tc>
      </w:tr>
      <w:tr>
        <w:tc>
          <w:tcPr>
            <w:tcW w:type="dxa" w:w="1872"/>
            <w:shd w:val="clear" w:color="auto" w:fill="FFFFFF"/>
          </w:tcPr>
          <w:p>
            <w:r/>
            <w:r>
              <w:rPr>
                <w:rFonts w:ascii="Calibri" w:hAnsi="Calibri"/>
                <w:b w:val="0"/>
                <w:sz w:val="18"/>
              </w:rPr>
              <w:t>Deutan</w:t>
            </w:r>
          </w:p>
        </w:tc>
        <w:tc>
          <w:tcPr>
            <w:tcW w:type="dxa" w:w="1872"/>
            <w:shd w:val="clear" w:color="auto" w:fill="FFFFFF"/>
          </w:tcPr>
          <w:p>
            <w:pPr>
              <w:jc w:val="center"/>
            </w:pPr>
            <w:r/>
            <w:r>
              <w:rPr>
                <w:rFonts w:ascii="Calibri" w:hAnsi="Calibri"/>
                <w:b w:val="0"/>
                <w:sz w:val="18"/>
              </w:rPr>
              <w:t>R_out</w:t>
            </w:r>
          </w:p>
        </w:tc>
        <w:tc>
          <w:tcPr>
            <w:tcW w:type="dxa" w:w="1872"/>
            <w:shd w:val="clear" w:color="auto" w:fill="FFFFFF"/>
          </w:tcPr>
          <w:p>
            <w:pPr>
              <w:jc w:val="center"/>
            </w:pPr>
            <w:r/>
            <w:r>
              <w:rPr>
                <w:rFonts w:ascii="Calibri" w:hAnsi="Calibri"/>
                <w:b w:val="0"/>
                <w:sz w:val="18"/>
              </w:rPr>
              <w:t>0.367322</w:t>
            </w:r>
          </w:p>
        </w:tc>
        <w:tc>
          <w:tcPr>
            <w:tcW w:type="dxa" w:w="1872"/>
            <w:shd w:val="clear" w:color="auto" w:fill="FFFFFF"/>
          </w:tcPr>
          <w:p>
            <w:pPr>
              <w:jc w:val="center"/>
            </w:pPr>
            <w:r/>
            <w:r>
              <w:rPr>
                <w:rFonts w:ascii="Calibri" w:hAnsi="Calibri"/>
                <w:b w:val="0"/>
                <w:sz w:val="18"/>
              </w:rPr>
              <w:t>0.860646</w:t>
            </w:r>
          </w:p>
        </w:tc>
        <w:tc>
          <w:tcPr>
            <w:tcW w:type="dxa" w:w="1872"/>
            <w:shd w:val="clear" w:color="auto" w:fill="FFFFFF"/>
          </w:tcPr>
          <w:p>
            <w:pPr>
              <w:jc w:val="center"/>
            </w:pPr>
            <w:r/>
            <w:r>
              <w:rPr>
                <w:rFonts w:ascii="Calibri" w:hAnsi="Calibri"/>
                <w:b w:val="0"/>
                <w:sz w:val="18"/>
              </w:rPr>
              <w:t>−0.227968</w:t>
            </w:r>
          </w:p>
        </w:tc>
      </w:tr>
      <w:tr>
        <w:tc>
          <w:tcPr>
            <w:tcW w:type="dxa" w:w="1872"/>
            <w:shd w:val="clear" w:color="auto" w:fill="F5F7FA"/>
          </w:tcPr>
          <w:p>
            <w:r/>
            <w:r>
              <w:rPr>
                <w:rFonts w:ascii="Calibri" w:hAnsi="Calibri"/>
                <w:b w:val="0"/>
                <w:sz w:val="18"/>
              </w:rPr>
              <w:t>Deutan</w:t>
            </w:r>
          </w:p>
        </w:tc>
        <w:tc>
          <w:tcPr>
            <w:tcW w:type="dxa" w:w="1872"/>
            <w:shd w:val="clear" w:color="auto" w:fill="F5F7FA"/>
          </w:tcPr>
          <w:p>
            <w:pPr>
              <w:jc w:val="center"/>
            </w:pPr>
            <w:r/>
            <w:r>
              <w:rPr>
                <w:rFonts w:ascii="Calibri" w:hAnsi="Calibri"/>
                <w:b w:val="0"/>
                <w:sz w:val="18"/>
              </w:rPr>
              <w:t>G_out</w:t>
            </w:r>
          </w:p>
        </w:tc>
        <w:tc>
          <w:tcPr>
            <w:tcW w:type="dxa" w:w="1872"/>
            <w:shd w:val="clear" w:color="auto" w:fill="F5F7FA"/>
          </w:tcPr>
          <w:p>
            <w:pPr>
              <w:jc w:val="center"/>
            </w:pPr>
            <w:r/>
            <w:r>
              <w:rPr>
                <w:rFonts w:ascii="Calibri" w:hAnsi="Calibri"/>
                <w:b w:val="0"/>
                <w:sz w:val="18"/>
              </w:rPr>
              <w:t>0.280085</w:t>
            </w:r>
          </w:p>
        </w:tc>
        <w:tc>
          <w:tcPr>
            <w:tcW w:type="dxa" w:w="1872"/>
            <w:shd w:val="clear" w:color="auto" w:fill="F5F7FA"/>
          </w:tcPr>
          <w:p>
            <w:pPr>
              <w:jc w:val="center"/>
            </w:pPr>
            <w:r/>
            <w:r>
              <w:rPr>
                <w:rFonts w:ascii="Calibri" w:hAnsi="Calibri"/>
                <w:b w:val="0"/>
                <w:sz w:val="18"/>
              </w:rPr>
              <w:t>0.672501</w:t>
            </w:r>
          </w:p>
        </w:tc>
        <w:tc>
          <w:tcPr>
            <w:tcW w:type="dxa" w:w="1872"/>
            <w:shd w:val="clear" w:color="auto" w:fill="F5F7FA"/>
          </w:tcPr>
          <w:p>
            <w:pPr>
              <w:jc w:val="center"/>
            </w:pPr>
            <w:r/>
            <w:r>
              <w:rPr>
                <w:rFonts w:ascii="Calibri" w:hAnsi="Calibri"/>
                <w:b w:val="0"/>
                <w:sz w:val="18"/>
              </w:rPr>
              <w:t>0.047413</w:t>
            </w:r>
          </w:p>
        </w:tc>
      </w:tr>
      <w:tr>
        <w:tc>
          <w:tcPr>
            <w:tcW w:type="dxa" w:w="1872"/>
            <w:shd w:val="clear" w:color="auto" w:fill="FFFFFF"/>
          </w:tcPr>
          <w:p>
            <w:r/>
            <w:r>
              <w:rPr>
                <w:rFonts w:ascii="Calibri" w:hAnsi="Calibri"/>
                <w:b w:val="0"/>
                <w:sz w:val="18"/>
              </w:rPr>
              <w:t>Deutan</w:t>
            </w:r>
          </w:p>
        </w:tc>
        <w:tc>
          <w:tcPr>
            <w:tcW w:type="dxa" w:w="1872"/>
            <w:shd w:val="clear" w:color="auto" w:fill="FFFFFF"/>
          </w:tcPr>
          <w:p>
            <w:pPr>
              <w:jc w:val="center"/>
            </w:pPr>
            <w:r/>
            <w:r>
              <w:rPr>
                <w:rFonts w:ascii="Calibri" w:hAnsi="Calibri"/>
                <w:b w:val="0"/>
                <w:sz w:val="18"/>
              </w:rPr>
              <w:t>B_out</w:t>
            </w:r>
          </w:p>
        </w:tc>
        <w:tc>
          <w:tcPr>
            <w:tcW w:type="dxa" w:w="1872"/>
            <w:shd w:val="clear" w:color="auto" w:fill="FFFFFF"/>
          </w:tcPr>
          <w:p>
            <w:pPr>
              <w:jc w:val="center"/>
            </w:pPr>
            <w:r/>
            <w:r>
              <w:rPr>
                <w:rFonts w:ascii="Calibri" w:hAnsi="Calibri"/>
                <w:b w:val="0"/>
                <w:sz w:val="18"/>
              </w:rPr>
              <w:t>−0.011820</w:t>
            </w:r>
          </w:p>
        </w:tc>
        <w:tc>
          <w:tcPr>
            <w:tcW w:type="dxa" w:w="1872"/>
            <w:shd w:val="clear" w:color="auto" w:fill="FFFFFF"/>
          </w:tcPr>
          <w:p>
            <w:pPr>
              <w:jc w:val="center"/>
            </w:pPr>
            <w:r/>
            <w:r>
              <w:rPr>
                <w:rFonts w:ascii="Calibri" w:hAnsi="Calibri"/>
                <w:b w:val="0"/>
                <w:sz w:val="18"/>
              </w:rPr>
              <w:t>0.042940</w:t>
            </w:r>
          </w:p>
        </w:tc>
        <w:tc>
          <w:tcPr>
            <w:tcW w:type="dxa" w:w="1872"/>
            <w:shd w:val="clear" w:color="auto" w:fill="FFFFFF"/>
          </w:tcPr>
          <w:p>
            <w:pPr>
              <w:jc w:val="center"/>
            </w:pPr>
            <w:r/>
            <w:r>
              <w:rPr>
                <w:rFonts w:ascii="Calibri" w:hAnsi="Calibri"/>
                <w:b w:val="0"/>
                <w:sz w:val="18"/>
              </w:rPr>
              <w:t>0.968881</w:t>
            </w:r>
          </w:p>
        </w:tc>
      </w:tr>
      <w:tr>
        <w:tc>
          <w:tcPr>
            <w:tcW w:type="dxa" w:w="1872"/>
            <w:shd w:val="clear" w:color="auto" w:fill="F5F7FA"/>
          </w:tcPr>
          <w:p>
            <w:r/>
            <w:r>
              <w:rPr>
                <w:rFonts w:ascii="Calibri" w:hAnsi="Calibri"/>
                <w:b w:val="0"/>
                <w:sz w:val="18"/>
              </w:rPr>
              <w:t>Tritan</w:t>
            </w:r>
          </w:p>
        </w:tc>
        <w:tc>
          <w:tcPr>
            <w:tcW w:type="dxa" w:w="1872"/>
            <w:shd w:val="clear" w:color="auto" w:fill="F5F7FA"/>
          </w:tcPr>
          <w:p>
            <w:pPr>
              <w:jc w:val="center"/>
            </w:pPr>
            <w:r/>
            <w:r>
              <w:rPr>
                <w:rFonts w:ascii="Calibri" w:hAnsi="Calibri"/>
                <w:b w:val="0"/>
                <w:sz w:val="18"/>
              </w:rPr>
              <w:t>R_out</w:t>
            </w:r>
          </w:p>
        </w:tc>
        <w:tc>
          <w:tcPr>
            <w:tcW w:type="dxa" w:w="1872"/>
            <w:shd w:val="clear" w:color="auto" w:fill="F5F7FA"/>
          </w:tcPr>
          <w:p>
            <w:pPr>
              <w:jc w:val="center"/>
            </w:pPr>
            <w:r/>
            <w:r>
              <w:rPr>
                <w:rFonts w:ascii="Calibri" w:hAnsi="Calibri"/>
                <w:b w:val="0"/>
                <w:sz w:val="18"/>
              </w:rPr>
              <w:t>1.255528</w:t>
            </w:r>
          </w:p>
        </w:tc>
        <w:tc>
          <w:tcPr>
            <w:tcW w:type="dxa" w:w="1872"/>
            <w:shd w:val="clear" w:color="auto" w:fill="F5F7FA"/>
          </w:tcPr>
          <w:p>
            <w:pPr>
              <w:jc w:val="center"/>
            </w:pPr>
            <w:r/>
            <w:r>
              <w:rPr>
                <w:rFonts w:ascii="Calibri" w:hAnsi="Calibri"/>
                <w:b w:val="0"/>
                <w:sz w:val="18"/>
              </w:rPr>
              <w:t>−0.076749</w:t>
            </w:r>
          </w:p>
        </w:tc>
        <w:tc>
          <w:tcPr>
            <w:tcW w:type="dxa" w:w="1872"/>
            <w:shd w:val="clear" w:color="auto" w:fill="F5F7FA"/>
          </w:tcPr>
          <w:p>
            <w:pPr>
              <w:jc w:val="center"/>
            </w:pPr>
            <w:r/>
            <w:r>
              <w:rPr>
                <w:rFonts w:ascii="Calibri" w:hAnsi="Calibri"/>
                <w:b w:val="0"/>
                <w:sz w:val="18"/>
              </w:rPr>
              <w:t>−0.178779</w:t>
            </w:r>
          </w:p>
        </w:tc>
      </w:tr>
      <w:tr>
        <w:tc>
          <w:tcPr>
            <w:tcW w:type="dxa" w:w="1872"/>
            <w:shd w:val="clear" w:color="auto" w:fill="FFFFFF"/>
          </w:tcPr>
          <w:p>
            <w:r/>
            <w:r>
              <w:rPr>
                <w:rFonts w:ascii="Calibri" w:hAnsi="Calibri"/>
                <w:b w:val="0"/>
                <w:sz w:val="18"/>
              </w:rPr>
              <w:t>Tritan</w:t>
            </w:r>
          </w:p>
        </w:tc>
        <w:tc>
          <w:tcPr>
            <w:tcW w:type="dxa" w:w="1872"/>
            <w:shd w:val="clear" w:color="auto" w:fill="FFFFFF"/>
          </w:tcPr>
          <w:p>
            <w:pPr>
              <w:jc w:val="center"/>
            </w:pPr>
            <w:r/>
            <w:r>
              <w:rPr>
                <w:rFonts w:ascii="Calibri" w:hAnsi="Calibri"/>
                <w:b w:val="0"/>
                <w:sz w:val="18"/>
              </w:rPr>
              <w:t>G_out</w:t>
            </w:r>
          </w:p>
        </w:tc>
        <w:tc>
          <w:tcPr>
            <w:tcW w:type="dxa" w:w="1872"/>
            <w:shd w:val="clear" w:color="auto" w:fill="FFFFFF"/>
          </w:tcPr>
          <w:p>
            <w:pPr>
              <w:jc w:val="center"/>
            </w:pPr>
            <w:r/>
            <w:r>
              <w:rPr>
                <w:rFonts w:ascii="Calibri" w:hAnsi="Calibri"/>
                <w:b w:val="0"/>
                <w:sz w:val="18"/>
              </w:rPr>
              <w:t>−0.078411</w:t>
            </w:r>
          </w:p>
        </w:tc>
        <w:tc>
          <w:tcPr>
            <w:tcW w:type="dxa" w:w="1872"/>
            <w:shd w:val="clear" w:color="auto" w:fill="FFFFFF"/>
          </w:tcPr>
          <w:p>
            <w:pPr>
              <w:jc w:val="center"/>
            </w:pPr>
            <w:r/>
            <w:r>
              <w:rPr>
                <w:rFonts w:ascii="Calibri" w:hAnsi="Calibri"/>
                <w:b w:val="0"/>
                <w:sz w:val="18"/>
              </w:rPr>
              <w:t>0.930809</w:t>
            </w:r>
          </w:p>
        </w:tc>
        <w:tc>
          <w:tcPr>
            <w:tcW w:type="dxa" w:w="1872"/>
            <w:shd w:val="clear" w:color="auto" w:fill="FFFFFF"/>
          </w:tcPr>
          <w:p>
            <w:pPr>
              <w:jc w:val="center"/>
            </w:pPr>
            <w:r/>
            <w:r>
              <w:rPr>
                <w:rFonts w:ascii="Calibri" w:hAnsi="Calibri"/>
                <w:b w:val="0"/>
                <w:sz w:val="18"/>
              </w:rPr>
              <w:t>0.147602</w:t>
            </w:r>
          </w:p>
        </w:tc>
      </w:tr>
      <w:tr>
        <w:tc>
          <w:tcPr>
            <w:tcW w:type="dxa" w:w="1872"/>
            <w:shd w:val="clear" w:color="auto" w:fill="F5F7FA"/>
          </w:tcPr>
          <w:p>
            <w:r/>
            <w:r>
              <w:rPr>
                <w:rFonts w:ascii="Calibri" w:hAnsi="Calibri"/>
                <w:b w:val="0"/>
                <w:sz w:val="18"/>
              </w:rPr>
              <w:t>Tritan</w:t>
            </w:r>
          </w:p>
        </w:tc>
        <w:tc>
          <w:tcPr>
            <w:tcW w:type="dxa" w:w="1872"/>
            <w:shd w:val="clear" w:color="auto" w:fill="F5F7FA"/>
          </w:tcPr>
          <w:p>
            <w:pPr>
              <w:jc w:val="center"/>
            </w:pPr>
            <w:r/>
            <w:r>
              <w:rPr>
                <w:rFonts w:ascii="Calibri" w:hAnsi="Calibri"/>
                <w:b w:val="0"/>
                <w:sz w:val="18"/>
              </w:rPr>
              <w:t>B_out</w:t>
            </w:r>
          </w:p>
        </w:tc>
        <w:tc>
          <w:tcPr>
            <w:tcW w:type="dxa" w:w="1872"/>
            <w:shd w:val="clear" w:color="auto" w:fill="F5F7FA"/>
          </w:tcPr>
          <w:p>
            <w:pPr>
              <w:jc w:val="center"/>
            </w:pPr>
            <w:r/>
            <w:r>
              <w:rPr>
                <w:rFonts w:ascii="Calibri" w:hAnsi="Calibri"/>
                <w:b w:val="0"/>
                <w:sz w:val="18"/>
              </w:rPr>
              <w:t>0.004733</w:t>
            </w:r>
          </w:p>
        </w:tc>
        <w:tc>
          <w:tcPr>
            <w:tcW w:type="dxa" w:w="1872"/>
            <w:shd w:val="clear" w:color="auto" w:fill="F5F7FA"/>
          </w:tcPr>
          <w:p>
            <w:pPr>
              <w:jc w:val="center"/>
            </w:pPr>
            <w:r/>
            <w:r>
              <w:rPr>
                <w:rFonts w:ascii="Calibri" w:hAnsi="Calibri"/>
                <w:b w:val="0"/>
                <w:sz w:val="18"/>
              </w:rPr>
              <w:t>0.691367</w:t>
            </w:r>
          </w:p>
        </w:tc>
        <w:tc>
          <w:tcPr>
            <w:tcW w:type="dxa" w:w="1872"/>
            <w:shd w:val="clear" w:color="auto" w:fill="F5F7FA"/>
          </w:tcPr>
          <w:p>
            <w:pPr>
              <w:jc w:val="center"/>
            </w:pPr>
            <w:r/>
            <w:r>
              <w:rPr>
                <w:rFonts w:ascii="Calibri" w:hAnsi="Calibri"/>
                <w:b w:val="0"/>
                <w:sz w:val="18"/>
              </w:rPr>
              <w:t>0.303900</w:t>
            </w:r>
          </w:p>
        </w:tc>
      </w:tr>
    </w:tbl>
    <w:p/>
    <w:p>
      <w:pPr>
        <w:spacing w:after="120" w:line="280" w:lineRule="exact"/>
      </w:pPr>
      <w:r>
        <w:rPr>
          <w:rFonts w:ascii="Calibri" w:hAnsi="Calibri"/>
          <w:sz w:val="22"/>
        </w:rPr>
        <w:t>Key matrix properties: (1) Each row sums to approximately 1.0, which preserves achromatic colors — an input of (v, v, v) produces an output of (v, v, v), confirming that grays remain unchanged under simulation. (2) Negative coefficients are mathematically valid projection terms but can produce out-of-gamut intermediate values, requiring a clamp operation. (3) The Tritan matrix contains a coefficient exceeding 1.0 (1.255 on R), reflecting the compensatory gain of the remaining L and M cones when the S-cone is absent.</w:t>
      </w:r>
    </w:p>
    <w:p>
      <w:pPr>
        <w:pStyle w:val="Heading3"/>
      </w:pPr>
      <w:r>
        <w:rPr>
          <w:color w:val="2E4057"/>
        </w:rPr>
        <w:t>SkSL GPU Shader Implementation</w:t>
      </w:r>
    </w:p>
    <w:p>
      <w:pPr>
        <w:spacing w:after="120" w:line="280" w:lineRule="exact"/>
      </w:pPr>
      <w:r>
        <w:rPr>
          <w:rFonts w:ascii="Calibri" w:hAnsi="Calibri"/>
          <w:sz w:val="22"/>
        </w:rPr>
        <w:t>The simulation matrix is applied on the GPU using a Skia Shading Language (SkSL) runtime shader integrated via react-native-skia. The shader receives the CVD matrix as three float3 uniform vectors (row0, row1, row2) and executes the following per-pixel computation:</w:t>
      </w:r>
    </w:p>
    <w:p>
      <w:pPr>
        <w:jc w:val="center"/>
      </w:pPr>
      <w:r>
        <w:rPr>
          <w:rFonts w:ascii="Consolas" w:hAnsi="Consolas"/>
          <w:i/>
          <w:sz w:val="22"/>
        </w:rPr>
        <w:t>lin = pow(pixel.rgb, 2.2)           // sRGB → linear</w:t>
      </w:r>
    </w:p>
    <w:p>
      <w:pPr>
        <w:jc w:val="center"/>
      </w:pPr>
      <w:r>
        <w:rPr>
          <w:rFonts w:ascii="Consolas" w:hAnsi="Consolas"/>
          <w:i/>
          <w:sz w:val="22"/>
        </w:rPr>
        <w:t>sim = [dot(row0, lin), dot(row1, lin), dot(row2, lin)]</w:t>
      </w:r>
    </w:p>
    <w:p>
      <w:pPr>
        <w:jc w:val="center"/>
      </w:pPr>
      <w:r>
        <w:rPr>
          <w:rFonts w:ascii="Consolas" w:hAnsi="Consolas"/>
          <w:i/>
          <w:sz w:val="22"/>
        </w:rPr>
        <w:t>sim = clamp(sim, 0.0, 1.0)          // gamut clip</w:t>
      </w:r>
    </w:p>
    <w:p>
      <w:pPr>
        <w:jc w:val="center"/>
      </w:pPr>
      <w:r>
        <w:rPr>
          <w:rFonts w:ascii="Consolas" w:hAnsi="Consolas"/>
          <w:i/>
          <w:sz w:val="22"/>
        </w:rPr>
        <w:t>out = pow(sim, 0.4545)               // linear → sRGB</w:t>
      </w:r>
    </w:p>
    <w:p>
      <w:pPr>
        <w:spacing w:after="120" w:line="280" w:lineRule="exact"/>
      </w:pPr>
      <w:r>
        <w:rPr>
          <w:rFonts w:ascii="Calibri" w:hAnsi="Calibri"/>
          <w:sz w:val="22"/>
        </w:rPr>
        <w:t>The shader uses half (float16) precision, which runs approximately 2× faster than single-precision on mobile GPUs with no visible quality loss for 8-bit display output. A 1040×780 image (811,200 pixels) is processed in approximately 4 ms on the GPU, compared to approximately 400 ms for an equivalent JavaScript pixel loop. Switching CVD types updates only the uniform vectors — React re-renders the shader on the same cached texture within a single 16 ms frame at 60 Hz.</w:t>
      </w:r>
    </w:p>
    <w:p>
      <w:pPr>
        <w:pStyle w:val="Heading2"/>
      </w:pPr>
      <w:r>
        <w:rPr>
          <w:color w:val="2E4057"/>
        </w:rPr>
        <w:t>Camera Enhancement Pipeline</w:t>
      </w:r>
    </w:p>
    <w:p>
      <w:pPr>
        <w:pStyle w:val="Heading3"/>
      </w:pPr>
      <w:r>
        <w:rPr>
          <w:color w:val="2E4057"/>
        </w:rPr>
        <w:t>Overview</w:t>
      </w:r>
    </w:p>
    <w:p>
      <w:pPr>
        <w:spacing w:after="120" w:line="280" w:lineRule="exact"/>
      </w:pPr>
      <w:r>
        <w:rPr>
          <w:rFonts w:ascii="Calibri" w:hAnsi="Calibri"/>
          <w:sz w:val="22"/>
        </w:rPr>
        <w:t>The Camera Enhancement is the only truly assistive mode. It captures a photo, then processes the pixels so that a CVD user can distinguish colors they normally confuse. Two algorithms are selectable: Daltonization (the default, physically motivated) and Hue Rotation (a comparative baseline from a different algorithm family). Users can toggle between them on the same captured image to compare correction effects.</w:t>
      </w:r>
    </w:p>
    <w:p>
      <w:pPr>
        <w:pStyle w:val="Heading3"/>
      </w:pPr>
      <w:r>
        <w:rPr>
          <w:color w:val="2E4057"/>
        </w:rPr>
        <w:t>Algorithm A: Daltonization (Brettel-Fidaner)</w:t>
      </w:r>
    </w:p>
    <w:p>
      <w:pPr>
        <w:spacing w:after="120" w:line="280" w:lineRule="exact"/>
      </w:pPr>
      <w:r>
        <w:rPr>
          <w:rFonts w:ascii="Calibri" w:hAnsi="Calibri"/>
          <w:sz w:val="22"/>
        </w:rPr>
        <w:t>Daltonization proceeds in three mathematical steps per pixel:</w:t>
      </w:r>
    </w:p>
    <w:p>
      <w:pPr>
        <w:jc w:val="center"/>
      </w:pPr>
      <w:r>
        <w:rPr>
          <w:rFonts w:ascii="Consolas" w:hAnsi="Consolas"/>
          <w:i/>
          <w:sz w:val="22"/>
        </w:rPr>
        <w:t>Step 1 — Simulate:     sim = SIM · original</w:t>
      </w:r>
    </w:p>
    <w:p>
      <w:pPr>
        <w:jc w:val="center"/>
      </w:pPr>
      <w:r>
        <w:rPr>
          <w:rFonts w:ascii="Consolas" w:hAnsi="Consolas"/>
          <w:i/>
          <w:sz w:val="22"/>
        </w:rPr>
        <w:t>Step 2 — Error:         err = original − sim</w:t>
      </w:r>
    </w:p>
    <w:p>
      <w:pPr>
        <w:jc w:val="center"/>
      </w:pPr>
      <w:r>
        <w:rPr>
          <w:rFonts w:ascii="Consolas" w:hAnsi="Consolas"/>
          <w:i/>
          <w:sz w:val="22"/>
        </w:rPr>
        <w:t>Step 3 — Redistribute:  out = original + E · err</w:t>
      </w:r>
    </w:p>
    <w:p>
      <w:pPr>
        <w:spacing w:after="120" w:line="280" w:lineRule="exact"/>
      </w:pPr>
      <w:r>
        <w:rPr>
          <w:rFonts w:ascii="Calibri" w:hAnsi="Calibri"/>
          <w:sz w:val="22"/>
        </w:rPr>
        <w:t>Where SIM is the Vienot simulation matrix and E is the Fidaner error-redistribution matrix. For pixels the CVD user already perceives correctly, sim ≈ original, so err ≈ 0, and out ≈ original — the pixel is unchanged. For confused pixels, err is large, and the error is shifted into channels the user can perceive. This self-gating property means the error magnitude acts as its own classifier, eliminating the need for a CNN or pixel classification step.</w:t>
      </w:r>
    </w:p>
    <w:p>
      <w:r>
        <w:rPr>
          <w:rFonts w:ascii="Calibri" w:hAnsi="Calibri"/>
          <w:b/>
          <w:sz w:val="20"/>
        </w:rPr>
        <w:t>Table — Fidaner Error-Redistribution Matrices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2E4057"/>
          </w:tcPr>
          <w:p>
            <w:pPr>
              <w:jc w:val="center"/>
            </w:pPr>
            <w:r/>
            <w:r>
              <w:rPr>
                <w:rFonts w:ascii="Calibri" w:hAnsi="Calibri"/>
                <w:b/>
                <w:color w:val="FFFFFF"/>
                <w:sz w:val="18"/>
              </w:rPr>
              <w:t>CVD Type</w:t>
            </w:r>
          </w:p>
        </w:tc>
        <w:tc>
          <w:tcPr>
            <w:tcW w:type="dxa" w:w="1872"/>
            <w:shd w:val="clear" w:color="auto" w:fill="2E4057"/>
          </w:tcPr>
          <w:p>
            <w:pPr>
              <w:jc w:val="center"/>
            </w:pPr>
            <w:r/>
            <w:r>
              <w:rPr>
                <w:rFonts w:ascii="Calibri" w:hAnsi="Calibri"/>
                <w:b/>
                <w:color w:val="FFFFFF"/>
                <w:sz w:val="18"/>
              </w:rPr>
              <w:t>Row</w:t>
            </w:r>
          </w:p>
        </w:tc>
        <w:tc>
          <w:tcPr>
            <w:tcW w:type="dxa" w:w="1872"/>
            <w:shd w:val="clear" w:color="auto" w:fill="2E4057"/>
          </w:tcPr>
          <w:p>
            <w:pPr>
              <w:jc w:val="center"/>
            </w:pPr>
            <w:r/>
            <w:r>
              <w:rPr>
                <w:rFonts w:ascii="Calibri" w:hAnsi="Calibri"/>
                <w:b/>
                <w:color w:val="FFFFFF"/>
                <w:sz w:val="18"/>
              </w:rPr>
              <w:t>R_err</w:t>
            </w:r>
          </w:p>
        </w:tc>
        <w:tc>
          <w:tcPr>
            <w:tcW w:type="dxa" w:w="1872"/>
            <w:shd w:val="clear" w:color="auto" w:fill="2E4057"/>
          </w:tcPr>
          <w:p>
            <w:pPr>
              <w:jc w:val="center"/>
            </w:pPr>
            <w:r/>
            <w:r>
              <w:rPr>
                <w:rFonts w:ascii="Calibri" w:hAnsi="Calibri"/>
                <w:b/>
                <w:color w:val="FFFFFF"/>
                <w:sz w:val="18"/>
              </w:rPr>
              <w:t>G_err</w:t>
            </w:r>
          </w:p>
        </w:tc>
        <w:tc>
          <w:tcPr>
            <w:tcW w:type="dxa" w:w="1872"/>
            <w:shd w:val="clear" w:color="auto" w:fill="2E4057"/>
          </w:tcPr>
          <w:p>
            <w:pPr>
              <w:jc w:val="center"/>
            </w:pPr>
            <w:r/>
            <w:r>
              <w:rPr>
                <w:rFonts w:ascii="Calibri" w:hAnsi="Calibri"/>
                <w:b/>
                <w:color w:val="FFFFFF"/>
                <w:sz w:val="18"/>
              </w:rPr>
              <w:t>B_err</w:t>
            </w:r>
          </w:p>
        </w:tc>
      </w:tr>
      <w:tr>
        <w:tc>
          <w:tcPr>
            <w:tcW w:type="dxa" w:w="1872"/>
            <w:shd w:val="clear" w:color="auto" w:fill="F5F7FA"/>
          </w:tcPr>
          <w:p>
            <w:r/>
            <w:r>
              <w:rPr>
                <w:rFonts w:ascii="Calibri" w:hAnsi="Calibri"/>
                <w:b w:val="0"/>
                <w:sz w:val="18"/>
              </w:rPr>
              <w:t>Protan</w:t>
            </w:r>
          </w:p>
        </w:tc>
        <w:tc>
          <w:tcPr>
            <w:tcW w:type="dxa" w:w="1872"/>
            <w:shd w:val="clear" w:color="auto" w:fill="F5F7FA"/>
          </w:tcPr>
          <w:p>
            <w:pPr>
              <w:jc w:val="center"/>
            </w:pPr>
            <w:r/>
            <w:r>
              <w:rPr>
                <w:rFonts w:ascii="Calibri" w:hAnsi="Calibri"/>
                <w:b w:val="0"/>
                <w:sz w:val="18"/>
              </w:rPr>
              <w:t>R_out</w:t>
            </w:r>
          </w:p>
        </w:tc>
        <w:tc>
          <w:tcPr>
            <w:tcW w:type="dxa" w:w="1872"/>
            <w:shd w:val="clear" w:color="auto" w:fill="F5F7FA"/>
          </w:tcPr>
          <w:p>
            <w:pPr>
              <w:jc w:val="center"/>
            </w:pPr>
            <w:r/>
            <w:r>
              <w:rPr>
                <w:rFonts w:ascii="Calibri" w:hAnsi="Calibri"/>
                <w:b w:val="0"/>
                <w:sz w:val="18"/>
              </w:rPr>
              <w:t>0.0</w:t>
            </w:r>
          </w:p>
        </w:tc>
        <w:tc>
          <w:tcPr>
            <w:tcW w:type="dxa" w:w="1872"/>
            <w:shd w:val="clear" w:color="auto" w:fill="F5F7FA"/>
          </w:tcPr>
          <w:p>
            <w:pPr>
              <w:jc w:val="center"/>
            </w:pPr>
            <w:r/>
            <w:r>
              <w:rPr>
                <w:rFonts w:ascii="Calibri" w:hAnsi="Calibri"/>
                <w:b w:val="0"/>
                <w:sz w:val="18"/>
              </w:rPr>
              <w:t>0.0</w:t>
            </w:r>
          </w:p>
        </w:tc>
        <w:tc>
          <w:tcPr>
            <w:tcW w:type="dxa" w:w="1872"/>
            <w:shd w:val="clear" w:color="auto" w:fill="F5F7FA"/>
          </w:tcPr>
          <w:p>
            <w:pPr>
              <w:jc w:val="center"/>
            </w:pPr>
            <w:r/>
            <w:r>
              <w:rPr>
                <w:rFonts w:ascii="Calibri" w:hAnsi="Calibri"/>
                <w:b w:val="0"/>
                <w:sz w:val="18"/>
              </w:rPr>
              <w:t>0.0</w:t>
            </w:r>
          </w:p>
        </w:tc>
      </w:tr>
      <w:tr>
        <w:tc>
          <w:tcPr>
            <w:tcW w:type="dxa" w:w="1872"/>
            <w:shd w:val="clear" w:color="auto" w:fill="FFFFFF"/>
          </w:tcPr>
          <w:p>
            <w:r/>
            <w:r>
              <w:rPr>
                <w:rFonts w:ascii="Calibri" w:hAnsi="Calibri"/>
                <w:b w:val="0"/>
                <w:sz w:val="18"/>
              </w:rPr>
              <w:t>Protan</w:t>
            </w:r>
          </w:p>
        </w:tc>
        <w:tc>
          <w:tcPr>
            <w:tcW w:type="dxa" w:w="1872"/>
            <w:shd w:val="clear" w:color="auto" w:fill="FFFFFF"/>
          </w:tcPr>
          <w:p>
            <w:pPr>
              <w:jc w:val="center"/>
            </w:pPr>
            <w:r/>
            <w:r>
              <w:rPr>
                <w:rFonts w:ascii="Calibri" w:hAnsi="Calibri"/>
                <w:b w:val="0"/>
                <w:sz w:val="18"/>
              </w:rPr>
              <w:t>G_out</w:t>
            </w:r>
          </w:p>
        </w:tc>
        <w:tc>
          <w:tcPr>
            <w:tcW w:type="dxa" w:w="1872"/>
            <w:shd w:val="clear" w:color="auto" w:fill="FFFFFF"/>
          </w:tcPr>
          <w:p>
            <w:pPr>
              <w:jc w:val="center"/>
            </w:pPr>
            <w:r/>
            <w:r>
              <w:rPr>
                <w:rFonts w:ascii="Calibri" w:hAnsi="Calibri"/>
                <w:b w:val="0"/>
                <w:sz w:val="18"/>
              </w:rPr>
              <w:t>0.7</w:t>
            </w:r>
          </w:p>
        </w:tc>
        <w:tc>
          <w:tcPr>
            <w:tcW w:type="dxa" w:w="1872"/>
            <w:shd w:val="clear" w:color="auto" w:fill="FFFFFF"/>
          </w:tcPr>
          <w:p>
            <w:pPr>
              <w:jc w:val="center"/>
            </w:pPr>
            <w:r/>
            <w:r>
              <w:rPr>
                <w:rFonts w:ascii="Calibri" w:hAnsi="Calibri"/>
                <w:b w:val="0"/>
                <w:sz w:val="18"/>
              </w:rPr>
              <w:t>1.0</w:t>
            </w:r>
          </w:p>
        </w:tc>
        <w:tc>
          <w:tcPr>
            <w:tcW w:type="dxa" w:w="1872"/>
            <w:shd w:val="clear" w:color="auto" w:fill="FFFFFF"/>
          </w:tcPr>
          <w:p>
            <w:pPr>
              <w:jc w:val="center"/>
            </w:pPr>
            <w:r/>
            <w:r>
              <w:rPr>
                <w:rFonts w:ascii="Calibri" w:hAnsi="Calibri"/>
                <w:b w:val="0"/>
                <w:sz w:val="18"/>
              </w:rPr>
              <w:t>0.0</w:t>
            </w:r>
          </w:p>
        </w:tc>
      </w:tr>
      <w:tr>
        <w:tc>
          <w:tcPr>
            <w:tcW w:type="dxa" w:w="1872"/>
            <w:shd w:val="clear" w:color="auto" w:fill="F5F7FA"/>
          </w:tcPr>
          <w:p>
            <w:r/>
            <w:r>
              <w:rPr>
                <w:rFonts w:ascii="Calibri" w:hAnsi="Calibri"/>
                <w:b w:val="0"/>
                <w:sz w:val="18"/>
              </w:rPr>
              <w:t>Protan</w:t>
            </w:r>
          </w:p>
        </w:tc>
        <w:tc>
          <w:tcPr>
            <w:tcW w:type="dxa" w:w="1872"/>
            <w:shd w:val="clear" w:color="auto" w:fill="F5F7FA"/>
          </w:tcPr>
          <w:p>
            <w:pPr>
              <w:jc w:val="center"/>
            </w:pPr>
            <w:r/>
            <w:r>
              <w:rPr>
                <w:rFonts w:ascii="Calibri" w:hAnsi="Calibri"/>
                <w:b w:val="0"/>
                <w:sz w:val="18"/>
              </w:rPr>
              <w:t>B_out</w:t>
            </w:r>
          </w:p>
        </w:tc>
        <w:tc>
          <w:tcPr>
            <w:tcW w:type="dxa" w:w="1872"/>
            <w:shd w:val="clear" w:color="auto" w:fill="F5F7FA"/>
          </w:tcPr>
          <w:p>
            <w:pPr>
              <w:jc w:val="center"/>
            </w:pPr>
            <w:r/>
            <w:r>
              <w:rPr>
                <w:rFonts w:ascii="Calibri" w:hAnsi="Calibri"/>
                <w:b w:val="0"/>
                <w:sz w:val="18"/>
              </w:rPr>
              <w:t>0.7</w:t>
            </w:r>
          </w:p>
        </w:tc>
        <w:tc>
          <w:tcPr>
            <w:tcW w:type="dxa" w:w="1872"/>
            <w:shd w:val="clear" w:color="auto" w:fill="F5F7FA"/>
          </w:tcPr>
          <w:p>
            <w:pPr>
              <w:jc w:val="center"/>
            </w:pPr>
            <w:r/>
            <w:r>
              <w:rPr>
                <w:rFonts w:ascii="Calibri" w:hAnsi="Calibri"/>
                <w:b w:val="0"/>
                <w:sz w:val="18"/>
              </w:rPr>
              <w:t>0.0</w:t>
            </w:r>
          </w:p>
        </w:tc>
        <w:tc>
          <w:tcPr>
            <w:tcW w:type="dxa" w:w="1872"/>
            <w:shd w:val="clear" w:color="auto" w:fill="F5F7FA"/>
          </w:tcPr>
          <w:p>
            <w:pPr>
              <w:jc w:val="center"/>
            </w:pPr>
            <w:r/>
            <w:r>
              <w:rPr>
                <w:rFonts w:ascii="Calibri" w:hAnsi="Calibri"/>
                <w:b w:val="0"/>
                <w:sz w:val="18"/>
              </w:rPr>
              <w:t>1.0</w:t>
            </w:r>
          </w:p>
        </w:tc>
      </w:tr>
      <w:tr>
        <w:tc>
          <w:tcPr>
            <w:tcW w:type="dxa" w:w="1872"/>
            <w:shd w:val="clear" w:color="auto" w:fill="FFFFFF"/>
          </w:tcPr>
          <w:p>
            <w:r/>
            <w:r>
              <w:rPr>
                <w:rFonts w:ascii="Calibri" w:hAnsi="Calibri"/>
                <w:b w:val="0"/>
                <w:sz w:val="18"/>
              </w:rPr>
              <w:t>Deutan</w:t>
            </w:r>
          </w:p>
        </w:tc>
        <w:tc>
          <w:tcPr>
            <w:tcW w:type="dxa" w:w="1872"/>
            <w:shd w:val="clear" w:color="auto" w:fill="FFFFFF"/>
          </w:tcPr>
          <w:p>
            <w:pPr>
              <w:jc w:val="center"/>
            </w:pPr>
            <w:r/>
            <w:r>
              <w:rPr>
                <w:rFonts w:ascii="Calibri" w:hAnsi="Calibri"/>
                <w:b w:val="0"/>
                <w:sz w:val="18"/>
              </w:rPr>
              <w:t>R_out</w:t>
            </w:r>
          </w:p>
        </w:tc>
        <w:tc>
          <w:tcPr>
            <w:tcW w:type="dxa" w:w="1872"/>
            <w:shd w:val="clear" w:color="auto" w:fill="FFFFFF"/>
          </w:tcPr>
          <w:p>
            <w:pPr>
              <w:jc w:val="center"/>
            </w:pPr>
            <w:r/>
            <w:r>
              <w:rPr>
                <w:rFonts w:ascii="Calibri" w:hAnsi="Calibri"/>
                <w:b w:val="0"/>
                <w:sz w:val="18"/>
              </w:rPr>
              <w:t>1.0</w:t>
            </w:r>
          </w:p>
        </w:tc>
        <w:tc>
          <w:tcPr>
            <w:tcW w:type="dxa" w:w="1872"/>
            <w:shd w:val="clear" w:color="auto" w:fill="FFFFFF"/>
          </w:tcPr>
          <w:p>
            <w:pPr>
              <w:jc w:val="center"/>
            </w:pPr>
            <w:r/>
            <w:r>
              <w:rPr>
                <w:rFonts w:ascii="Calibri" w:hAnsi="Calibri"/>
                <w:b w:val="0"/>
                <w:sz w:val="18"/>
              </w:rPr>
              <w:t>0.6</w:t>
            </w:r>
          </w:p>
        </w:tc>
        <w:tc>
          <w:tcPr>
            <w:tcW w:type="dxa" w:w="1872"/>
            <w:shd w:val="clear" w:color="auto" w:fill="FFFFFF"/>
          </w:tcPr>
          <w:p>
            <w:pPr>
              <w:jc w:val="center"/>
            </w:pPr>
            <w:r/>
            <w:r>
              <w:rPr>
                <w:rFonts w:ascii="Calibri" w:hAnsi="Calibri"/>
                <w:b w:val="0"/>
                <w:sz w:val="18"/>
              </w:rPr>
              <w:t>0.0</w:t>
            </w:r>
          </w:p>
        </w:tc>
      </w:tr>
      <w:tr>
        <w:tc>
          <w:tcPr>
            <w:tcW w:type="dxa" w:w="1872"/>
            <w:shd w:val="clear" w:color="auto" w:fill="F5F7FA"/>
          </w:tcPr>
          <w:p>
            <w:r/>
            <w:r>
              <w:rPr>
                <w:rFonts w:ascii="Calibri" w:hAnsi="Calibri"/>
                <w:b w:val="0"/>
                <w:sz w:val="18"/>
              </w:rPr>
              <w:t>Deutan</w:t>
            </w:r>
          </w:p>
        </w:tc>
        <w:tc>
          <w:tcPr>
            <w:tcW w:type="dxa" w:w="1872"/>
            <w:shd w:val="clear" w:color="auto" w:fill="F5F7FA"/>
          </w:tcPr>
          <w:p>
            <w:pPr>
              <w:jc w:val="center"/>
            </w:pPr>
            <w:r/>
            <w:r>
              <w:rPr>
                <w:rFonts w:ascii="Calibri" w:hAnsi="Calibri"/>
                <w:b w:val="0"/>
                <w:sz w:val="18"/>
              </w:rPr>
              <w:t>G_out</w:t>
            </w:r>
          </w:p>
        </w:tc>
        <w:tc>
          <w:tcPr>
            <w:tcW w:type="dxa" w:w="1872"/>
            <w:shd w:val="clear" w:color="auto" w:fill="F5F7FA"/>
          </w:tcPr>
          <w:p>
            <w:pPr>
              <w:jc w:val="center"/>
            </w:pPr>
            <w:r/>
            <w:r>
              <w:rPr>
                <w:rFonts w:ascii="Calibri" w:hAnsi="Calibri"/>
                <w:b w:val="0"/>
                <w:sz w:val="18"/>
              </w:rPr>
              <w:t>0.0</w:t>
            </w:r>
          </w:p>
        </w:tc>
        <w:tc>
          <w:tcPr>
            <w:tcW w:type="dxa" w:w="1872"/>
            <w:shd w:val="clear" w:color="auto" w:fill="F5F7FA"/>
          </w:tcPr>
          <w:p>
            <w:pPr>
              <w:jc w:val="center"/>
            </w:pPr>
            <w:r/>
            <w:r>
              <w:rPr>
                <w:rFonts w:ascii="Calibri" w:hAnsi="Calibri"/>
                <w:b w:val="0"/>
                <w:sz w:val="18"/>
              </w:rPr>
              <w:t>0.0</w:t>
            </w:r>
          </w:p>
        </w:tc>
        <w:tc>
          <w:tcPr>
            <w:tcW w:type="dxa" w:w="1872"/>
            <w:shd w:val="clear" w:color="auto" w:fill="F5F7FA"/>
          </w:tcPr>
          <w:p>
            <w:pPr>
              <w:jc w:val="center"/>
            </w:pPr>
            <w:r/>
            <w:r>
              <w:rPr>
                <w:rFonts w:ascii="Calibri" w:hAnsi="Calibri"/>
                <w:b w:val="0"/>
                <w:sz w:val="18"/>
              </w:rPr>
              <w:t>0.0</w:t>
            </w:r>
          </w:p>
        </w:tc>
      </w:tr>
      <w:tr>
        <w:tc>
          <w:tcPr>
            <w:tcW w:type="dxa" w:w="1872"/>
            <w:shd w:val="clear" w:color="auto" w:fill="FFFFFF"/>
          </w:tcPr>
          <w:p>
            <w:r/>
            <w:r>
              <w:rPr>
                <w:rFonts w:ascii="Calibri" w:hAnsi="Calibri"/>
                <w:b w:val="0"/>
                <w:sz w:val="18"/>
              </w:rPr>
              <w:t>Deutan</w:t>
            </w:r>
          </w:p>
        </w:tc>
        <w:tc>
          <w:tcPr>
            <w:tcW w:type="dxa" w:w="1872"/>
            <w:shd w:val="clear" w:color="auto" w:fill="FFFFFF"/>
          </w:tcPr>
          <w:p>
            <w:pPr>
              <w:jc w:val="center"/>
            </w:pPr>
            <w:r/>
            <w:r>
              <w:rPr>
                <w:rFonts w:ascii="Calibri" w:hAnsi="Calibri"/>
                <w:b w:val="0"/>
                <w:sz w:val="18"/>
              </w:rPr>
              <w:t>B_out</w:t>
            </w:r>
          </w:p>
        </w:tc>
        <w:tc>
          <w:tcPr>
            <w:tcW w:type="dxa" w:w="1872"/>
            <w:shd w:val="clear" w:color="auto" w:fill="FFFFFF"/>
          </w:tcPr>
          <w:p>
            <w:pPr>
              <w:jc w:val="center"/>
            </w:pPr>
            <w:r/>
            <w:r>
              <w:rPr>
                <w:rFonts w:ascii="Calibri" w:hAnsi="Calibri"/>
                <w:b w:val="0"/>
                <w:sz w:val="18"/>
              </w:rPr>
              <w:t>0.0</w:t>
            </w:r>
          </w:p>
        </w:tc>
        <w:tc>
          <w:tcPr>
            <w:tcW w:type="dxa" w:w="1872"/>
            <w:shd w:val="clear" w:color="auto" w:fill="FFFFFF"/>
          </w:tcPr>
          <w:p>
            <w:pPr>
              <w:jc w:val="center"/>
            </w:pPr>
            <w:r/>
            <w:r>
              <w:rPr>
                <w:rFonts w:ascii="Calibri" w:hAnsi="Calibri"/>
                <w:b w:val="0"/>
                <w:sz w:val="18"/>
              </w:rPr>
              <w:t>0.6</w:t>
            </w:r>
          </w:p>
        </w:tc>
        <w:tc>
          <w:tcPr>
            <w:tcW w:type="dxa" w:w="1872"/>
            <w:shd w:val="clear" w:color="auto" w:fill="FFFFFF"/>
          </w:tcPr>
          <w:p>
            <w:pPr>
              <w:jc w:val="center"/>
            </w:pPr>
            <w:r/>
            <w:r>
              <w:rPr>
                <w:rFonts w:ascii="Calibri" w:hAnsi="Calibri"/>
                <w:b w:val="0"/>
                <w:sz w:val="18"/>
              </w:rPr>
              <w:t>1.0</w:t>
            </w:r>
          </w:p>
        </w:tc>
      </w:tr>
      <w:tr>
        <w:tc>
          <w:tcPr>
            <w:tcW w:type="dxa" w:w="1872"/>
            <w:shd w:val="clear" w:color="auto" w:fill="F5F7FA"/>
          </w:tcPr>
          <w:p>
            <w:r/>
            <w:r>
              <w:rPr>
                <w:rFonts w:ascii="Calibri" w:hAnsi="Calibri"/>
                <w:b w:val="0"/>
                <w:sz w:val="18"/>
              </w:rPr>
              <w:t>Tritan</w:t>
            </w:r>
          </w:p>
        </w:tc>
        <w:tc>
          <w:tcPr>
            <w:tcW w:type="dxa" w:w="1872"/>
            <w:shd w:val="clear" w:color="auto" w:fill="F5F7FA"/>
          </w:tcPr>
          <w:p>
            <w:pPr>
              <w:jc w:val="center"/>
            </w:pPr>
            <w:r/>
            <w:r>
              <w:rPr>
                <w:rFonts w:ascii="Calibri" w:hAnsi="Calibri"/>
                <w:b w:val="0"/>
                <w:sz w:val="18"/>
              </w:rPr>
              <w:t>R_out</w:t>
            </w:r>
          </w:p>
        </w:tc>
        <w:tc>
          <w:tcPr>
            <w:tcW w:type="dxa" w:w="1872"/>
            <w:shd w:val="clear" w:color="auto" w:fill="F5F7FA"/>
          </w:tcPr>
          <w:p>
            <w:pPr>
              <w:jc w:val="center"/>
            </w:pPr>
            <w:r/>
            <w:r>
              <w:rPr>
                <w:rFonts w:ascii="Calibri" w:hAnsi="Calibri"/>
                <w:b w:val="0"/>
                <w:sz w:val="18"/>
              </w:rPr>
              <w:t>1.0</w:t>
            </w:r>
          </w:p>
        </w:tc>
        <w:tc>
          <w:tcPr>
            <w:tcW w:type="dxa" w:w="1872"/>
            <w:shd w:val="clear" w:color="auto" w:fill="F5F7FA"/>
          </w:tcPr>
          <w:p>
            <w:pPr>
              <w:jc w:val="center"/>
            </w:pPr>
            <w:r/>
            <w:r>
              <w:rPr>
                <w:rFonts w:ascii="Calibri" w:hAnsi="Calibri"/>
                <w:b w:val="0"/>
                <w:sz w:val="18"/>
              </w:rPr>
              <w:t>0.0</w:t>
            </w:r>
          </w:p>
        </w:tc>
        <w:tc>
          <w:tcPr>
            <w:tcW w:type="dxa" w:w="1872"/>
            <w:shd w:val="clear" w:color="auto" w:fill="F5F7FA"/>
          </w:tcPr>
          <w:p>
            <w:pPr>
              <w:jc w:val="center"/>
            </w:pPr>
            <w:r/>
            <w:r>
              <w:rPr>
                <w:rFonts w:ascii="Calibri" w:hAnsi="Calibri"/>
                <w:b w:val="0"/>
                <w:sz w:val="18"/>
              </w:rPr>
              <w:t>0.7</w:t>
            </w:r>
          </w:p>
        </w:tc>
      </w:tr>
      <w:tr>
        <w:tc>
          <w:tcPr>
            <w:tcW w:type="dxa" w:w="1872"/>
            <w:shd w:val="clear" w:color="auto" w:fill="FFFFFF"/>
          </w:tcPr>
          <w:p>
            <w:r/>
            <w:r>
              <w:rPr>
                <w:rFonts w:ascii="Calibri" w:hAnsi="Calibri"/>
                <w:b w:val="0"/>
                <w:sz w:val="18"/>
              </w:rPr>
              <w:t>Tritan</w:t>
            </w:r>
          </w:p>
        </w:tc>
        <w:tc>
          <w:tcPr>
            <w:tcW w:type="dxa" w:w="1872"/>
            <w:shd w:val="clear" w:color="auto" w:fill="FFFFFF"/>
          </w:tcPr>
          <w:p>
            <w:pPr>
              <w:jc w:val="center"/>
            </w:pPr>
            <w:r/>
            <w:r>
              <w:rPr>
                <w:rFonts w:ascii="Calibri" w:hAnsi="Calibri"/>
                <w:b w:val="0"/>
                <w:sz w:val="18"/>
              </w:rPr>
              <w:t>G_out</w:t>
            </w:r>
          </w:p>
        </w:tc>
        <w:tc>
          <w:tcPr>
            <w:tcW w:type="dxa" w:w="1872"/>
            <w:shd w:val="clear" w:color="auto" w:fill="FFFFFF"/>
          </w:tcPr>
          <w:p>
            <w:pPr>
              <w:jc w:val="center"/>
            </w:pPr>
            <w:r/>
            <w:r>
              <w:rPr>
                <w:rFonts w:ascii="Calibri" w:hAnsi="Calibri"/>
                <w:b w:val="0"/>
                <w:sz w:val="18"/>
              </w:rPr>
              <w:t>0.0</w:t>
            </w:r>
          </w:p>
        </w:tc>
        <w:tc>
          <w:tcPr>
            <w:tcW w:type="dxa" w:w="1872"/>
            <w:shd w:val="clear" w:color="auto" w:fill="FFFFFF"/>
          </w:tcPr>
          <w:p>
            <w:pPr>
              <w:jc w:val="center"/>
            </w:pPr>
            <w:r/>
            <w:r>
              <w:rPr>
                <w:rFonts w:ascii="Calibri" w:hAnsi="Calibri"/>
                <w:b w:val="0"/>
                <w:sz w:val="18"/>
              </w:rPr>
              <w:t>1.0</w:t>
            </w:r>
          </w:p>
        </w:tc>
        <w:tc>
          <w:tcPr>
            <w:tcW w:type="dxa" w:w="1872"/>
            <w:shd w:val="clear" w:color="auto" w:fill="FFFFFF"/>
          </w:tcPr>
          <w:p>
            <w:pPr>
              <w:jc w:val="center"/>
            </w:pPr>
            <w:r/>
            <w:r>
              <w:rPr>
                <w:rFonts w:ascii="Calibri" w:hAnsi="Calibri"/>
                <w:b w:val="0"/>
                <w:sz w:val="18"/>
              </w:rPr>
              <w:t>0.7</w:t>
            </w:r>
          </w:p>
        </w:tc>
      </w:tr>
      <w:tr>
        <w:tc>
          <w:tcPr>
            <w:tcW w:type="dxa" w:w="1872"/>
            <w:shd w:val="clear" w:color="auto" w:fill="F5F7FA"/>
          </w:tcPr>
          <w:p>
            <w:r/>
            <w:r>
              <w:rPr>
                <w:rFonts w:ascii="Calibri" w:hAnsi="Calibri"/>
                <w:b w:val="0"/>
                <w:sz w:val="18"/>
              </w:rPr>
              <w:t>Tritan</w:t>
            </w:r>
          </w:p>
        </w:tc>
        <w:tc>
          <w:tcPr>
            <w:tcW w:type="dxa" w:w="1872"/>
            <w:shd w:val="clear" w:color="auto" w:fill="F5F7FA"/>
          </w:tcPr>
          <w:p>
            <w:pPr>
              <w:jc w:val="center"/>
            </w:pPr>
            <w:r/>
            <w:r>
              <w:rPr>
                <w:rFonts w:ascii="Calibri" w:hAnsi="Calibri"/>
                <w:b w:val="0"/>
                <w:sz w:val="18"/>
              </w:rPr>
              <w:t>B_out</w:t>
            </w:r>
          </w:p>
        </w:tc>
        <w:tc>
          <w:tcPr>
            <w:tcW w:type="dxa" w:w="1872"/>
            <w:shd w:val="clear" w:color="auto" w:fill="F5F7FA"/>
          </w:tcPr>
          <w:p>
            <w:pPr>
              <w:jc w:val="center"/>
            </w:pPr>
            <w:r/>
            <w:r>
              <w:rPr>
                <w:rFonts w:ascii="Calibri" w:hAnsi="Calibri"/>
                <w:b w:val="0"/>
                <w:sz w:val="18"/>
              </w:rPr>
              <w:t>0.0</w:t>
            </w:r>
          </w:p>
        </w:tc>
        <w:tc>
          <w:tcPr>
            <w:tcW w:type="dxa" w:w="1872"/>
            <w:shd w:val="clear" w:color="auto" w:fill="F5F7FA"/>
          </w:tcPr>
          <w:p>
            <w:pPr>
              <w:jc w:val="center"/>
            </w:pPr>
            <w:r/>
            <w:r>
              <w:rPr>
                <w:rFonts w:ascii="Calibri" w:hAnsi="Calibri"/>
                <w:b w:val="0"/>
                <w:sz w:val="18"/>
              </w:rPr>
              <w:t>0.0</w:t>
            </w:r>
          </w:p>
        </w:tc>
        <w:tc>
          <w:tcPr>
            <w:tcW w:type="dxa" w:w="1872"/>
            <w:shd w:val="clear" w:color="auto" w:fill="F5F7FA"/>
          </w:tcPr>
          <w:p>
            <w:pPr>
              <w:jc w:val="center"/>
            </w:pPr>
            <w:r/>
            <w:r>
              <w:rPr>
                <w:rFonts w:ascii="Calibri" w:hAnsi="Calibri"/>
                <w:b w:val="0"/>
                <w:sz w:val="18"/>
              </w:rPr>
              <w:t>0.0</w:t>
            </w:r>
          </w:p>
        </w:tc>
      </w:tr>
    </w:tbl>
    <w:p/>
    <w:p>
      <w:pPr>
        <w:spacing w:after="120" w:line="280" w:lineRule="exact"/>
      </w:pPr>
      <w:r>
        <w:rPr>
          <w:rFonts w:ascii="Calibri" w:hAnsi="Calibri"/>
          <w:sz w:val="22"/>
        </w:rPr>
        <w:t>Design principle: the row corresponding to the missing cone's channel is zeroed (no value in redistributing error to a channel the user cannot perceive). The 0.7 and 0.6 weights are Fidaner's empirical optimum — values above 1.0 produce oversaturation, while values below 0.5 produce under-correction.</w:t>
      </w:r>
    </w:p>
    <w:p>
      <w:pPr>
        <w:pStyle w:val="Heading3"/>
      </w:pPr>
      <w:r>
        <w:rPr>
          <w:color w:val="2E4057"/>
        </w:rPr>
        <w:t>Algorithm B: Hue Rotation</w:t>
      </w:r>
    </w:p>
    <w:p>
      <w:pPr>
        <w:spacing w:after="120" w:line="280" w:lineRule="exact"/>
      </w:pPr>
      <w:r>
        <w:rPr>
          <w:rFonts w:ascii="Calibri" w:hAnsi="Calibri"/>
          <w:sz w:val="22"/>
        </w:rPr>
        <w:t>Hue Rotation operates in HSV color space, rotating the hue angle of pixels within a CVD-specific confusion band away from the confusion axis. The rotation is configured by three parameters per CVD type:</w:t>
      </w:r>
    </w:p>
    <w:p>
      <w:r>
        <w:rPr>
          <w:rFonts w:ascii="Calibri" w:hAnsi="Calibri"/>
          <w:b/>
          <w:sz w:val="20"/>
        </w:rPr>
        <w:t>Table — Hue Rotation Configuration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2E4057"/>
          </w:tcPr>
          <w:p>
            <w:pPr>
              <w:jc w:val="center"/>
            </w:pPr>
            <w:r/>
            <w:r>
              <w:rPr>
                <w:rFonts w:ascii="Calibri" w:hAnsi="Calibri"/>
                <w:b/>
                <w:color w:val="FFFFFF"/>
                <w:sz w:val="18"/>
              </w:rPr>
              <w:t>CVD Type</w:t>
            </w:r>
          </w:p>
        </w:tc>
        <w:tc>
          <w:tcPr>
            <w:tcW w:type="dxa" w:w="2340"/>
            <w:shd w:val="clear" w:color="auto" w:fill="2E4057"/>
          </w:tcPr>
          <w:p>
            <w:pPr>
              <w:jc w:val="center"/>
            </w:pPr>
            <w:r/>
            <w:r>
              <w:rPr>
                <w:rFonts w:ascii="Calibri" w:hAnsi="Calibri"/>
                <w:b/>
                <w:color w:val="FFFFFF"/>
                <w:sz w:val="18"/>
              </w:rPr>
              <w:t>Center (°)</w:t>
            </w:r>
          </w:p>
        </w:tc>
        <w:tc>
          <w:tcPr>
            <w:tcW w:type="dxa" w:w="2340"/>
            <w:shd w:val="clear" w:color="auto" w:fill="2E4057"/>
          </w:tcPr>
          <w:p>
            <w:pPr>
              <w:jc w:val="center"/>
            </w:pPr>
            <w:r/>
            <w:r>
              <w:rPr>
                <w:rFonts w:ascii="Calibri" w:hAnsi="Calibri"/>
                <w:b/>
                <w:color w:val="FFFFFF"/>
                <w:sz w:val="18"/>
              </w:rPr>
              <w:t>Range (°)</w:t>
            </w:r>
          </w:p>
        </w:tc>
        <w:tc>
          <w:tcPr>
            <w:tcW w:type="dxa" w:w="2340"/>
            <w:shd w:val="clear" w:color="auto" w:fill="2E4057"/>
          </w:tcPr>
          <w:p>
            <w:pPr>
              <w:jc w:val="center"/>
            </w:pPr>
            <w:r/>
            <w:r>
              <w:rPr>
                <w:rFonts w:ascii="Calibri" w:hAnsi="Calibri"/>
                <w:b/>
                <w:color w:val="FFFFFF"/>
                <w:sz w:val="18"/>
              </w:rPr>
              <w:t>Shift (°)</w:t>
            </w:r>
          </w:p>
        </w:tc>
      </w:tr>
      <w:tr>
        <w:tc>
          <w:tcPr>
            <w:tcW w:type="dxa" w:w="2340"/>
            <w:shd w:val="clear" w:color="auto" w:fill="F5F7FA"/>
          </w:tcPr>
          <w:p>
            <w:r/>
            <w:r>
              <w:rPr>
                <w:rFonts w:ascii="Calibri" w:hAnsi="Calibri"/>
                <w:b w:val="0"/>
                <w:sz w:val="18"/>
              </w:rPr>
              <w:t>Protan</w:t>
            </w:r>
          </w:p>
        </w:tc>
        <w:tc>
          <w:tcPr>
            <w:tcW w:type="dxa" w:w="2340"/>
            <w:shd w:val="clear" w:color="auto" w:fill="F5F7FA"/>
          </w:tcPr>
          <w:p>
            <w:pPr>
              <w:jc w:val="center"/>
            </w:pPr>
            <w:r/>
            <w:r>
              <w:rPr>
                <w:rFonts w:ascii="Calibri" w:hAnsi="Calibri"/>
                <w:b w:val="0"/>
                <w:sz w:val="18"/>
              </w:rPr>
              <w:t>0 (red)</w:t>
            </w:r>
          </w:p>
        </w:tc>
        <w:tc>
          <w:tcPr>
            <w:tcW w:type="dxa" w:w="2340"/>
            <w:shd w:val="clear" w:color="auto" w:fill="F5F7FA"/>
          </w:tcPr>
          <w:p>
            <w:pPr>
              <w:jc w:val="center"/>
            </w:pPr>
            <w:r/>
            <w:r>
              <w:rPr>
                <w:rFonts w:ascii="Calibri" w:hAnsi="Calibri"/>
                <w:b w:val="0"/>
                <w:sz w:val="18"/>
              </w:rPr>
              <w:t>60</w:t>
            </w:r>
          </w:p>
        </w:tc>
        <w:tc>
          <w:tcPr>
            <w:tcW w:type="dxa" w:w="2340"/>
            <w:shd w:val="clear" w:color="auto" w:fill="F5F7FA"/>
          </w:tcPr>
          <w:p>
            <w:pPr>
              <w:jc w:val="center"/>
            </w:pPr>
            <w:r/>
            <w:r>
              <w:rPr>
                <w:rFonts w:ascii="Calibri" w:hAnsi="Calibri"/>
                <w:b w:val="0"/>
                <w:sz w:val="18"/>
              </w:rPr>
              <w:t>+40</w:t>
            </w:r>
          </w:p>
        </w:tc>
      </w:tr>
      <w:tr>
        <w:tc>
          <w:tcPr>
            <w:tcW w:type="dxa" w:w="2340"/>
            <w:shd w:val="clear" w:color="auto" w:fill="FFFFFF"/>
          </w:tcPr>
          <w:p>
            <w:r/>
            <w:r>
              <w:rPr>
                <w:rFonts w:ascii="Calibri" w:hAnsi="Calibri"/>
                <w:b w:val="0"/>
                <w:sz w:val="18"/>
              </w:rPr>
              <w:t>Deutan</w:t>
            </w:r>
          </w:p>
        </w:tc>
        <w:tc>
          <w:tcPr>
            <w:tcW w:type="dxa" w:w="2340"/>
            <w:shd w:val="clear" w:color="auto" w:fill="FFFFFF"/>
          </w:tcPr>
          <w:p>
            <w:pPr>
              <w:jc w:val="center"/>
            </w:pPr>
            <w:r/>
            <w:r>
              <w:rPr>
                <w:rFonts w:ascii="Calibri" w:hAnsi="Calibri"/>
                <w:b w:val="0"/>
                <w:sz w:val="18"/>
              </w:rPr>
              <w:t>0 (red)</w:t>
            </w:r>
          </w:p>
        </w:tc>
        <w:tc>
          <w:tcPr>
            <w:tcW w:type="dxa" w:w="2340"/>
            <w:shd w:val="clear" w:color="auto" w:fill="FFFFFF"/>
          </w:tcPr>
          <w:p>
            <w:pPr>
              <w:jc w:val="center"/>
            </w:pPr>
            <w:r/>
            <w:r>
              <w:rPr>
                <w:rFonts w:ascii="Calibri" w:hAnsi="Calibri"/>
                <w:b w:val="0"/>
                <w:sz w:val="18"/>
              </w:rPr>
              <w:t>60</w:t>
            </w:r>
          </w:p>
        </w:tc>
        <w:tc>
          <w:tcPr>
            <w:tcW w:type="dxa" w:w="2340"/>
            <w:shd w:val="clear" w:color="auto" w:fill="FFFFFF"/>
          </w:tcPr>
          <w:p>
            <w:pPr>
              <w:jc w:val="center"/>
            </w:pPr>
            <w:r/>
            <w:r>
              <w:rPr>
                <w:rFonts w:ascii="Calibri" w:hAnsi="Calibri"/>
                <w:b w:val="0"/>
                <w:sz w:val="18"/>
              </w:rPr>
              <w:t>+40</w:t>
            </w:r>
          </w:p>
        </w:tc>
      </w:tr>
      <w:tr>
        <w:tc>
          <w:tcPr>
            <w:tcW w:type="dxa" w:w="2340"/>
            <w:shd w:val="clear" w:color="auto" w:fill="F5F7FA"/>
          </w:tcPr>
          <w:p>
            <w:r/>
            <w:r>
              <w:rPr>
                <w:rFonts w:ascii="Calibri" w:hAnsi="Calibri"/>
                <w:b w:val="0"/>
                <w:sz w:val="18"/>
              </w:rPr>
              <w:t>Tritan</w:t>
            </w:r>
          </w:p>
        </w:tc>
        <w:tc>
          <w:tcPr>
            <w:tcW w:type="dxa" w:w="2340"/>
            <w:shd w:val="clear" w:color="auto" w:fill="F5F7FA"/>
          </w:tcPr>
          <w:p>
            <w:pPr>
              <w:jc w:val="center"/>
            </w:pPr>
            <w:r/>
            <w:r>
              <w:rPr>
                <w:rFonts w:ascii="Calibri" w:hAnsi="Calibri"/>
                <w:b w:val="0"/>
                <w:sz w:val="18"/>
              </w:rPr>
              <w:t>240 (blue)</w:t>
            </w:r>
          </w:p>
        </w:tc>
        <w:tc>
          <w:tcPr>
            <w:tcW w:type="dxa" w:w="2340"/>
            <w:shd w:val="clear" w:color="auto" w:fill="F5F7FA"/>
          </w:tcPr>
          <w:p>
            <w:pPr>
              <w:jc w:val="center"/>
            </w:pPr>
            <w:r/>
            <w:r>
              <w:rPr>
                <w:rFonts w:ascii="Calibri" w:hAnsi="Calibri"/>
                <w:b w:val="0"/>
                <w:sz w:val="18"/>
              </w:rPr>
              <w:t>60</w:t>
            </w:r>
          </w:p>
        </w:tc>
        <w:tc>
          <w:tcPr>
            <w:tcW w:type="dxa" w:w="2340"/>
            <w:shd w:val="clear" w:color="auto" w:fill="F5F7FA"/>
          </w:tcPr>
          <w:p>
            <w:pPr>
              <w:jc w:val="center"/>
            </w:pPr>
            <w:r/>
            <w:r>
              <w:rPr>
                <w:rFonts w:ascii="Calibri" w:hAnsi="Calibri"/>
                <w:b w:val="0"/>
                <w:sz w:val="18"/>
              </w:rPr>
              <w:t>−30</w:t>
            </w:r>
          </w:p>
        </w:tc>
      </w:tr>
    </w:tbl>
    <w:p/>
    <w:p>
      <w:pPr>
        <w:spacing w:after="120" w:line="280" w:lineRule="exact"/>
      </w:pPr>
      <w:r>
        <w:rPr>
          <w:rFonts w:ascii="Calibri" w:hAnsi="Calibri"/>
          <w:sz w:val="22"/>
        </w:rPr>
        <w:t>The rotation uses a linear taper: full shift at the band center, tapering linearly to zero at the band edges (weight = 1 − dist/range). This prevents visible banding artifacts at the rotation boundary. A saturation gate (S &lt; 0.15) skips near-gray pixels whose hue is unreliable due to sensor noise. Circular hue distance handles the 360° wraparound correctly.</w:t>
      </w:r>
    </w:p>
    <w:p>
      <w:pPr>
        <w:pStyle w:val="Heading3"/>
      </w:pPr>
      <w:r>
        <w:rPr>
          <w:color w:val="2E4057"/>
        </w:rPr>
        <w:t>Comparative Analysis: Daltonization vs. Hue Rotation</w:t>
      </w:r>
    </w:p>
    <w:p>
      <w:r>
        <w:rPr>
          <w:rFonts w:ascii="Calibri" w:hAnsi="Calibri"/>
          <w:b/>
          <w:sz w:val="20"/>
        </w:rPr>
        <w:t>Table — Algorithm Comparison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2E4057"/>
          </w:tcPr>
          <w:p>
            <w:pPr>
              <w:jc w:val="center"/>
            </w:pPr>
            <w:r/>
            <w:r>
              <w:rPr>
                <w:rFonts w:ascii="Calibri" w:hAnsi="Calibri"/>
                <w:b/>
                <w:color w:val="FFFFFF"/>
                <w:sz w:val="18"/>
              </w:rPr>
              <w:t>Property</w:t>
            </w:r>
          </w:p>
        </w:tc>
        <w:tc>
          <w:tcPr>
            <w:tcW w:type="dxa" w:w="3120"/>
            <w:shd w:val="clear" w:color="auto" w:fill="2E4057"/>
          </w:tcPr>
          <w:p>
            <w:pPr>
              <w:jc w:val="center"/>
            </w:pPr>
            <w:r/>
            <w:r>
              <w:rPr>
                <w:rFonts w:ascii="Calibri" w:hAnsi="Calibri"/>
                <w:b/>
                <w:color w:val="FFFFFF"/>
                <w:sz w:val="18"/>
              </w:rPr>
              <w:t>Daltonization</w:t>
            </w:r>
          </w:p>
        </w:tc>
        <w:tc>
          <w:tcPr>
            <w:tcW w:type="dxa" w:w="3120"/>
            <w:shd w:val="clear" w:color="auto" w:fill="2E4057"/>
          </w:tcPr>
          <w:p>
            <w:pPr>
              <w:jc w:val="center"/>
            </w:pPr>
            <w:r/>
            <w:r>
              <w:rPr>
                <w:rFonts w:ascii="Calibri" w:hAnsi="Calibri"/>
                <w:b/>
                <w:color w:val="FFFFFF"/>
                <w:sz w:val="18"/>
              </w:rPr>
              <w:t>Hue Rotation</w:t>
            </w:r>
          </w:p>
        </w:tc>
      </w:tr>
      <w:tr>
        <w:tc>
          <w:tcPr>
            <w:tcW w:type="dxa" w:w="3120"/>
            <w:shd w:val="clear" w:color="auto" w:fill="F5F7FA"/>
          </w:tcPr>
          <w:p>
            <w:r/>
            <w:r>
              <w:rPr>
                <w:rFonts w:ascii="Calibri" w:hAnsi="Calibri"/>
                <w:b w:val="0"/>
                <w:sz w:val="18"/>
              </w:rPr>
              <w:t>Theoretical basis</w:t>
            </w:r>
          </w:p>
        </w:tc>
        <w:tc>
          <w:tcPr>
            <w:tcW w:type="dxa" w:w="3120"/>
            <w:shd w:val="clear" w:color="auto" w:fill="F5F7FA"/>
          </w:tcPr>
          <w:p>
            <w:pPr>
              <w:jc w:val="center"/>
            </w:pPr>
            <w:r/>
            <w:r>
              <w:rPr>
                <w:rFonts w:ascii="Calibri" w:hAnsi="Calibri"/>
                <w:b w:val="0"/>
                <w:sz w:val="18"/>
              </w:rPr>
              <w:t>Physical cone-response model (Vienot 1999)</w:t>
            </w:r>
          </w:p>
        </w:tc>
        <w:tc>
          <w:tcPr>
            <w:tcW w:type="dxa" w:w="3120"/>
            <w:shd w:val="clear" w:color="auto" w:fill="F5F7FA"/>
          </w:tcPr>
          <w:p>
            <w:pPr>
              <w:jc w:val="center"/>
            </w:pPr>
            <w:r/>
            <w:r>
              <w:rPr>
                <w:rFonts w:ascii="Calibri" w:hAnsi="Calibri"/>
                <w:b w:val="0"/>
                <w:sz w:val="18"/>
              </w:rPr>
              <w:t>Heuristic rule-based</w:t>
            </w:r>
          </w:p>
        </w:tc>
      </w:tr>
      <w:tr>
        <w:tc>
          <w:tcPr>
            <w:tcW w:type="dxa" w:w="3120"/>
            <w:shd w:val="clear" w:color="auto" w:fill="FFFFFF"/>
          </w:tcPr>
          <w:p>
            <w:r/>
            <w:r>
              <w:rPr>
                <w:rFonts w:ascii="Calibri" w:hAnsi="Calibri"/>
                <w:b w:val="0"/>
                <w:sz w:val="18"/>
              </w:rPr>
              <w:t>Self-gating</w:t>
            </w:r>
          </w:p>
        </w:tc>
        <w:tc>
          <w:tcPr>
            <w:tcW w:type="dxa" w:w="3120"/>
            <w:shd w:val="clear" w:color="auto" w:fill="FFFFFF"/>
          </w:tcPr>
          <w:p>
            <w:pPr>
              <w:jc w:val="center"/>
            </w:pPr>
            <w:r/>
            <w:r>
              <w:rPr>
                <w:rFonts w:ascii="Calibri" w:hAnsi="Calibri"/>
                <w:b w:val="0"/>
                <w:sz w:val="18"/>
              </w:rPr>
              <w:t>Yes (error ≈ 0 for perceivable pixels)</w:t>
            </w:r>
          </w:p>
        </w:tc>
        <w:tc>
          <w:tcPr>
            <w:tcW w:type="dxa" w:w="3120"/>
            <w:shd w:val="clear" w:color="auto" w:fill="FFFFFF"/>
          </w:tcPr>
          <w:p>
            <w:pPr>
              <w:jc w:val="center"/>
            </w:pPr>
            <w:r/>
            <w:r>
              <w:rPr>
                <w:rFonts w:ascii="Calibri" w:hAnsi="Calibri"/>
                <w:b w:val="0"/>
                <w:sz w:val="18"/>
              </w:rPr>
              <w:t>No (manual band definition)</w:t>
            </w:r>
          </w:p>
        </w:tc>
      </w:tr>
      <w:tr>
        <w:tc>
          <w:tcPr>
            <w:tcW w:type="dxa" w:w="3120"/>
            <w:shd w:val="clear" w:color="auto" w:fill="F5F7FA"/>
          </w:tcPr>
          <w:p>
            <w:r/>
            <w:r>
              <w:rPr>
                <w:rFonts w:ascii="Calibri" w:hAnsi="Calibri"/>
                <w:b w:val="0"/>
                <w:sz w:val="18"/>
              </w:rPr>
              <w:t>Identity preservation</w:t>
            </w:r>
          </w:p>
        </w:tc>
        <w:tc>
          <w:tcPr>
            <w:tcW w:type="dxa" w:w="3120"/>
            <w:shd w:val="clear" w:color="auto" w:fill="F5F7FA"/>
          </w:tcPr>
          <w:p>
            <w:pPr>
              <w:jc w:val="center"/>
            </w:pPr>
            <w:r/>
            <w:r>
              <w:rPr>
                <w:rFonts w:ascii="Calibri" w:hAnsi="Calibri"/>
                <w:b w:val="0"/>
                <w:sz w:val="18"/>
              </w:rPr>
              <w:t>High — only shifts what is lost</w:t>
            </w:r>
          </w:p>
        </w:tc>
        <w:tc>
          <w:tcPr>
            <w:tcW w:type="dxa" w:w="3120"/>
            <w:shd w:val="clear" w:color="auto" w:fill="F5F7FA"/>
          </w:tcPr>
          <w:p>
            <w:pPr>
              <w:jc w:val="center"/>
            </w:pPr>
            <w:r/>
            <w:r>
              <w:rPr>
                <w:rFonts w:ascii="Calibri" w:hAnsi="Calibri"/>
                <w:b w:val="0"/>
                <w:sz w:val="18"/>
              </w:rPr>
              <w:t>Low — shifts entire band</w:t>
            </w:r>
          </w:p>
        </w:tc>
      </w:tr>
      <w:tr>
        <w:tc>
          <w:tcPr>
            <w:tcW w:type="dxa" w:w="3120"/>
            <w:shd w:val="clear" w:color="auto" w:fill="FFFFFF"/>
          </w:tcPr>
          <w:p>
            <w:r/>
            <w:r>
              <w:rPr>
                <w:rFonts w:ascii="Calibri" w:hAnsi="Calibri"/>
                <w:b w:val="0"/>
                <w:sz w:val="18"/>
              </w:rPr>
              <w:t>Coverage</w:t>
            </w:r>
          </w:p>
        </w:tc>
        <w:tc>
          <w:tcPr>
            <w:tcW w:type="dxa" w:w="3120"/>
            <w:shd w:val="clear" w:color="auto" w:fill="FFFFFF"/>
          </w:tcPr>
          <w:p>
            <w:pPr>
              <w:jc w:val="center"/>
            </w:pPr>
            <w:r/>
            <w:r>
              <w:rPr>
                <w:rFonts w:ascii="Calibri" w:hAnsi="Calibri"/>
                <w:b w:val="0"/>
                <w:sz w:val="18"/>
              </w:rPr>
              <w:t>All tones</w:t>
            </w:r>
          </w:p>
        </w:tc>
        <w:tc>
          <w:tcPr>
            <w:tcW w:type="dxa" w:w="3120"/>
            <w:shd w:val="clear" w:color="auto" w:fill="FFFFFF"/>
          </w:tcPr>
          <w:p>
            <w:pPr>
              <w:jc w:val="center"/>
            </w:pPr>
            <w:r/>
            <w:r>
              <w:rPr>
                <w:rFonts w:ascii="Calibri" w:hAnsi="Calibri"/>
                <w:b w:val="0"/>
                <w:sz w:val="18"/>
              </w:rPr>
              <w:t>Band-limited (range = 60°)</w:t>
            </w:r>
          </w:p>
        </w:tc>
      </w:tr>
      <w:tr>
        <w:tc>
          <w:tcPr>
            <w:tcW w:type="dxa" w:w="3120"/>
            <w:shd w:val="clear" w:color="auto" w:fill="F5F7FA"/>
          </w:tcPr>
          <w:p>
            <w:r/>
            <w:r>
              <w:rPr>
                <w:rFonts w:ascii="Calibri" w:hAnsi="Calibri"/>
                <w:b w:val="0"/>
                <w:sz w:val="18"/>
              </w:rPr>
              <w:t>Parameter count</w:t>
            </w:r>
          </w:p>
        </w:tc>
        <w:tc>
          <w:tcPr>
            <w:tcW w:type="dxa" w:w="3120"/>
            <w:shd w:val="clear" w:color="auto" w:fill="F5F7FA"/>
          </w:tcPr>
          <w:p>
            <w:pPr>
              <w:jc w:val="center"/>
            </w:pPr>
            <w:r/>
            <w:r>
              <w:rPr>
                <w:rFonts w:ascii="Calibri" w:hAnsi="Calibri"/>
                <w:b w:val="0"/>
                <w:sz w:val="18"/>
              </w:rPr>
              <w:t>9 (SIM) + 9 (ERR) per CVD</w:t>
            </w:r>
          </w:p>
        </w:tc>
        <w:tc>
          <w:tcPr>
            <w:tcW w:type="dxa" w:w="3120"/>
            <w:shd w:val="clear" w:color="auto" w:fill="F5F7FA"/>
          </w:tcPr>
          <w:p>
            <w:pPr>
              <w:jc w:val="center"/>
            </w:pPr>
            <w:r/>
            <w:r>
              <w:rPr>
                <w:rFonts w:ascii="Calibri" w:hAnsi="Calibri"/>
                <w:b w:val="0"/>
                <w:sz w:val="18"/>
              </w:rPr>
              <w:t>3 (center, range, shift) per CVD</w:t>
            </w:r>
          </w:p>
        </w:tc>
      </w:tr>
      <w:tr>
        <w:tc>
          <w:tcPr>
            <w:tcW w:type="dxa" w:w="3120"/>
            <w:shd w:val="clear" w:color="auto" w:fill="FFFFFF"/>
          </w:tcPr>
          <w:p>
            <w:r/>
            <w:r>
              <w:rPr>
                <w:rFonts w:ascii="Calibri" w:hAnsi="Calibri"/>
                <w:b w:val="0"/>
                <w:sz w:val="18"/>
              </w:rPr>
              <w:t>Achromatic preservation</w:t>
            </w:r>
          </w:p>
        </w:tc>
        <w:tc>
          <w:tcPr>
            <w:tcW w:type="dxa" w:w="3120"/>
            <w:shd w:val="clear" w:color="auto" w:fill="FFFFFF"/>
          </w:tcPr>
          <w:p>
            <w:pPr>
              <w:jc w:val="center"/>
            </w:pPr>
            <w:r/>
            <w:r>
              <w:rPr>
                <w:rFonts w:ascii="Calibri" w:hAnsi="Calibri"/>
                <w:b w:val="0"/>
                <w:sz w:val="18"/>
              </w:rPr>
              <w:t>By matrix design (rows sum to 1)</w:t>
            </w:r>
          </w:p>
        </w:tc>
        <w:tc>
          <w:tcPr>
            <w:tcW w:type="dxa" w:w="3120"/>
            <w:shd w:val="clear" w:color="auto" w:fill="FFFFFF"/>
          </w:tcPr>
          <w:p>
            <w:pPr>
              <w:jc w:val="center"/>
            </w:pPr>
            <w:r/>
            <w:r>
              <w:rPr>
                <w:rFonts w:ascii="Calibri" w:hAnsi="Calibri"/>
                <w:b w:val="0"/>
                <w:sz w:val="18"/>
              </w:rPr>
              <w:t>By saturation gate</w:t>
            </w:r>
          </w:p>
        </w:tc>
      </w:tr>
    </w:tbl>
    <w:p/>
    <w:p>
      <w:pPr>
        <w:pStyle w:val="Heading2"/>
      </w:pPr>
      <w:r>
        <w:rPr>
          <w:color w:val="2E4057"/>
        </w:rPr>
        <w:t>GPU Simulation Fidelity Validation</w:t>
      </w:r>
    </w:p>
    <w:p>
      <w:pPr>
        <w:spacing w:after="120" w:line="280" w:lineRule="exact"/>
      </w:pPr>
      <w:r>
        <w:rPr>
          <w:rFonts w:ascii="Calibri" w:hAnsi="Calibri"/>
          <w:sz w:val="22"/>
        </w:rPr>
        <w:t>To validate that the GPU shader's float16 precision does not introduce perceptible differences, a fidelity comparison was conducted between the SkSL shader output (half precision) and a float64 CPU reference implementation using identical matrices. Six synthetic test images (720×480) were processed across all three CVD types (18 conditions), with per-pixel CIEDE2000 ΔE measuring the perceptual difference.</w:t>
      </w:r>
    </w:p>
    <w:p>
      <w:r>
        <w:rPr>
          <w:rFonts w:ascii="Calibri" w:hAnsi="Calibri"/>
          <w:b/>
          <w:sz w:val="20"/>
        </w:rPr>
        <w:t>Table — GPU vs CPU Simulation Fidelity Summary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2E4057"/>
          </w:tcPr>
          <w:p>
            <w:pPr>
              <w:jc w:val="center"/>
            </w:pPr>
            <w:r/>
            <w:r>
              <w:rPr>
                <w:rFonts w:ascii="Calibri" w:hAnsi="Calibri"/>
                <w:b/>
                <w:color w:val="FFFFFF"/>
                <w:sz w:val="18"/>
              </w:rPr>
              <w:t>Metric</w:t>
            </w:r>
          </w:p>
        </w:tc>
        <w:tc>
          <w:tcPr>
            <w:tcW w:type="dxa" w:w="3120"/>
            <w:shd w:val="clear" w:color="auto" w:fill="2E4057"/>
          </w:tcPr>
          <w:p>
            <w:pPr>
              <w:jc w:val="center"/>
            </w:pPr>
            <w:r/>
            <w:r>
              <w:rPr>
                <w:rFonts w:ascii="Calibri" w:hAnsi="Calibri"/>
                <w:b/>
                <w:color w:val="FFFFFF"/>
                <w:sz w:val="18"/>
              </w:rPr>
              <w:t>Value</w:t>
            </w:r>
          </w:p>
        </w:tc>
        <w:tc>
          <w:tcPr>
            <w:tcW w:type="dxa" w:w="3120"/>
            <w:shd w:val="clear" w:color="auto" w:fill="2E4057"/>
          </w:tcPr>
          <w:p>
            <w:pPr>
              <w:jc w:val="center"/>
            </w:pPr>
            <w:r/>
            <w:r>
              <w:rPr>
                <w:rFonts w:ascii="Calibri" w:hAnsi="Calibri"/>
                <w:b/>
                <w:color w:val="FFFFFF"/>
                <w:sz w:val="18"/>
              </w:rPr>
              <w:t>Status</w:t>
            </w:r>
          </w:p>
        </w:tc>
      </w:tr>
      <w:tr>
        <w:tc>
          <w:tcPr>
            <w:tcW w:type="dxa" w:w="3120"/>
            <w:shd w:val="clear" w:color="auto" w:fill="F5F7FA"/>
          </w:tcPr>
          <w:p>
            <w:r/>
            <w:r>
              <w:rPr>
                <w:rFonts w:ascii="Calibri" w:hAnsi="Calibri"/>
                <w:b w:val="0"/>
                <w:sz w:val="18"/>
              </w:rPr>
              <w:t>Overall mean ΔE</w:t>
            </w:r>
          </w:p>
        </w:tc>
        <w:tc>
          <w:tcPr>
            <w:tcW w:type="dxa" w:w="3120"/>
            <w:shd w:val="clear" w:color="auto" w:fill="F5F7FA"/>
          </w:tcPr>
          <w:p>
            <w:pPr>
              <w:jc w:val="center"/>
            </w:pPr>
            <w:r/>
            <w:r>
              <w:rPr>
                <w:rFonts w:ascii="Calibri" w:hAnsi="Calibri"/>
                <w:b w:val="0"/>
                <w:sz w:val="18"/>
              </w:rPr>
              <w:t>0.027</w:t>
            </w:r>
          </w:p>
        </w:tc>
        <w:tc>
          <w:tcPr>
            <w:tcW w:type="dxa" w:w="3120"/>
            <w:shd w:val="clear" w:color="auto" w:fill="F5F7FA"/>
          </w:tcPr>
          <w:p>
            <w:pPr>
              <w:jc w:val="center"/>
            </w:pPr>
            <w:r/>
            <w:r>
              <w:rPr>
                <w:rFonts w:ascii="Calibri" w:hAnsi="Calibri"/>
                <w:b w:val="0"/>
                <w:sz w:val="18"/>
              </w:rPr>
              <w:t>PASS</w:t>
            </w:r>
          </w:p>
        </w:tc>
      </w:tr>
      <w:tr>
        <w:tc>
          <w:tcPr>
            <w:tcW w:type="dxa" w:w="3120"/>
            <w:shd w:val="clear" w:color="auto" w:fill="FFFFFF"/>
          </w:tcPr>
          <w:p>
            <w:r/>
            <w:r>
              <w:rPr>
                <w:rFonts w:ascii="Calibri" w:hAnsi="Calibri"/>
                <w:b w:val="0"/>
                <w:sz w:val="18"/>
              </w:rPr>
              <w:t>Overall max ΔE</w:t>
            </w:r>
          </w:p>
        </w:tc>
        <w:tc>
          <w:tcPr>
            <w:tcW w:type="dxa" w:w="3120"/>
            <w:shd w:val="clear" w:color="auto" w:fill="FFFFFF"/>
          </w:tcPr>
          <w:p>
            <w:pPr>
              <w:jc w:val="center"/>
            </w:pPr>
            <w:r/>
            <w:r>
              <w:rPr>
                <w:rFonts w:ascii="Calibri" w:hAnsi="Calibri"/>
                <w:b w:val="0"/>
                <w:sz w:val="18"/>
              </w:rPr>
              <w:t>1.199</w:t>
            </w:r>
          </w:p>
        </w:tc>
        <w:tc>
          <w:tcPr>
            <w:tcW w:type="dxa" w:w="3120"/>
            <w:shd w:val="clear" w:color="auto" w:fill="FFFFFF"/>
          </w:tcPr>
          <w:p>
            <w:pPr>
              <w:jc w:val="center"/>
            </w:pPr>
            <w:r/>
            <w:r>
              <w:rPr>
                <w:rFonts w:ascii="Calibri" w:hAnsi="Calibri"/>
                <w:b w:val="0"/>
                <w:sz w:val="18"/>
              </w:rPr>
              <w:t>—</w:t>
            </w:r>
          </w:p>
        </w:tc>
      </w:tr>
      <w:tr>
        <w:tc>
          <w:tcPr>
            <w:tcW w:type="dxa" w:w="3120"/>
            <w:shd w:val="clear" w:color="auto" w:fill="F5F7FA"/>
          </w:tcPr>
          <w:p>
            <w:r/>
            <w:r>
              <w:rPr>
                <w:rFonts w:ascii="Calibri" w:hAnsi="Calibri"/>
                <w:b w:val="0"/>
                <w:sz w:val="18"/>
              </w:rPr>
              <w:t>Conditions passing</w:t>
            </w:r>
          </w:p>
        </w:tc>
        <w:tc>
          <w:tcPr>
            <w:tcW w:type="dxa" w:w="3120"/>
            <w:shd w:val="clear" w:color="auto" w:fill="F5F7FA"/>
          </w:tcPr>
          <w:p>
            <w:pPr>
              <w:jc w:val="center"/>
            </w:pPr>
            <w:r/>
            <w:r>
              <w:rPr>
                <w:rFonts w:ascii="Calibri" w:hAnsi="Calibri"/>
                <w:b w:val="0"/>
                <w:sz w:val="18"/>
              </w:rPr>
              <w:t>18/18</w:t>
            </w:r>
          </w:p>
        </w:tc>
        <w:tc>
          <w:tcPr>
            <w:tcW w:type="dxa" w:w="3120"/>
            <w:shd w:val="clear" w:color="auto" w:fill="F5F7FA"/>
          </w:tcPr>
          <w:p>
            <w:pPr>
              <w:jc w:val="center"/>
            </w:pPr>
            <w:r/>
            <w:r>
              <w:rPr>
                <w:rFonts w:ascii="Calibri" w:hAnsi="Calibri"/>
                <w:b w:val="0"/>
                <w:sz w:val="18"/>
              </w:rPr>
              <w:t>PASS</w:t>
            </w:r>
          </w:p>
        </w:tc>
      </w:tr>
    </w:tbl>
    <w:p/>
    <w:p>
      <w:pPr>
        <w:spacing w:after="120" w:line="280" w:lineRule="exact"/>
      </w:pPr>
      <w:r>
        <w:rPr>
          <w:rFonts w:ascii="Calibri" w:hAnsi="Calibri"/>
          <w:sz w:val="22"/>
        </w:rPr>
        <w:t>The overall mean ΔE of 0.027 is well below the perceptual threshold of 1.0, confirming that the GPU shader faithfully reproduces the CPU reference simulation. Saturated primaries and neutral grays produced ΔE = 0.000 (bit-exact). The single highest per-pixel deviation (ΔE = 1.199) occurred in a noisy region of the natural scene image under Protan simulation — a statistically insignificant outlier that is imperceptible in practice.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