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钟占行</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3</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钟占行</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3</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二〇二五年十月十六日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t>声  明</w:t>
        <w:tab/>
        <w:t>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eastAsia="仿宋" w:cs="Times New Roman"/>
          <w:bCs/>
          <w:color w:val="auto"/>
          <w:szCs w:val="36"/>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tab/>
        <w:t>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价值分析报告</w:t>
        <w:tab/>
        <w:t>4</w:t>
      </w:r>
      <w:r>
        <w:rPr>
          <w:rFonts w:hint="default" w:ascii="Times New Roman" w:hAnsi="Times New Roman" w:cs="Times New Roman"/>
          <w:lang w:eastAsia="zh-C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一、委托人、债务人及债务责任关联方简介</w:t>
        <w:tab/>
        <w:t>4</w:t>
      </w:r>
      <w:r>
        <w:rPr>
          <w:rFonts w:hint="default" w:ascii="Times New Roman" w:hAnsi="Times New Roman" w:eastAsia="仿宋" w:cs="Times New Roman"/>
          <w:szCs w:val="28"/>
        </w:rPr>
      </w:r>
      <w:r>
        <w:rPr>
          <w:rFonts w:hint="default" w:ascii="Times New Roman" w:hAnsi="Times New Roman" w:eastAsia="仿宋" w:cs="Times New Roman"/>
          <w:szCs w:val="28"/>
          <w:lang w:eastAsia="zh-CN"/>
        </w:rPr>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tab/>
        <w:t>9</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tab/>
        <w:t>10</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九、价值分析结论</w:t>
        <w:tab/>
        <w:t>11</w:t>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tab/>
        <w:t>11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tab/>
        <w:t>12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价值分析报告附件</w:t>
        <w:tab/>
        <w:t>14</w:t>
      </w:r>
      <w:r>
        <w:rPr>
          <w:rFonts w:hint="default" w:ascii="Times New Roman" w:hAnsi="Times New Roman" w:eastAsia="仿宋" w:cs="Times New Roman"/>
          <w:color w:val="auto"/>
          <w:szCs w:val="30"/>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钟占行</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3</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钟占行</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钟占行</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钟占行</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2025年6月30日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2025</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钟占行</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2025年6月30日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59.49</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27.53</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46.28%</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钟占行</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3</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钟占行</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钟占行</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钟占行</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412828198309210677</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河南省新蔡县宋岗乡曾营村委钟营东组</w:t>
      </w:r>
      <w:r>
        <w:rPr>
          <w:rFonts w:hint="default" w:ascii="Times New Roman" w:hAnsi="Times New Roman" w:eastAsia="仿宋" w:cs="Times New Roman"/>
          <w:sz w:val="24"/>
          <w:szCs w:val="24"/>
          <w:lang w:eastAsia="zh-CN"/>
        </w:rPr>
        <w:t>。</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钟占行</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钟占行</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钟占行</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58.70</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0.79</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59.49</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65.00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rPr>
        <w:t>钟占行</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苏（2018）苏州市不动产权第8028929号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钟占行</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苏州市姑苏区老禾家塘岸63号3幢3-402室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4层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62.28</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2025年6月30日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苏（2018）苏州市不动产权第8028929号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钟占行</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苏州市姑苏区老禾家塘岸63号3幢3-402室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4层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62.28</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钟占行</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苏州市姑苏区老禾家塘岸63号3幢3-402室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62.28</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10,071.00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627,222.00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627,222.00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439,055.00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439,055.00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410,824.00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15,487.00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抵押物折现价值-抵押物处置费用-安置费用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410,824.00-15,487.00-120,000.00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275,337.00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275,337.00元，资产抵押债权金额为594,906.62元，抵押权利价值为650,000.00元，抵押物可回收金额为三者最低值，所以钟占行户债权资产分析价值为抵押物可回收金额，即275,337.00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2025</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钟占行</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2025</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钟占行</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2025年6月30日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59.49</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27.53</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46.28%</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2025年10月16日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钟占行</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钟占行</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