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jc w:val="left"/>
        <w:rPr>
          <w:rFonts w:hint="default" w:ascii="Times New Roman" w:hAnsi="Times New Roman" w:eastAsia="仿宋" w:cs="Times New Roman"/>
        </w:rPr>
      </w:pPr>
    </w:p>
    <w:p>
      <w:pPr>
        <w:ind w:firstLine="480"/>
        <w:jc w:val="left"/>
        <w:rPr>
          <w:rFonts w:hint="default" w:ascii="Times New Roman" w:hAnsi="Times New Roman" w:eastAsia="仿宋" w:cs="Times New Roman"/>
        </w:rPr>
      </w:pPr>
      <w:bookmarkStart w:id="83" w:name="_GoBack"/>
      <w:bookmarkEnd w:id="83"/>
      <w:r>
        <w:rPr>
          <w:rFonts w:hint="default" w:ascii="Times New Roman" w:hAnsi="Times New Roman" w:eastAsia="仿宋" w:cs="Times New Roma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2026</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仲路芹</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2026</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1004</w:t>
                            </w:r>
                            <w:r>
                              <w:rPr>
                                <w:rFonts w:hint="eastAsia" w:eastAsia="仿宋_GB2312" w:cs="Times New Roman"/>
                                <w:b/>
                                <w:spacing w:val="10"/>
                                <w:szCs w:val="24"/>
                                <w:lang w:eastAsia="zh-CN"/>
                              </w:rPr>
                              <w:t>-</w:t>
                            </w:r>
                            <w:r>
                              <w:rPr>
                                <w:rFonts w:hint="eastAsia" w:eastAsia="仿宋_GB2312" w:cs="Times New Roman"/>
                                <w:b/>
                                <w:spacing w:val="10"/>
                                <w:szCs w:val="24"/>
                                <w:lang w:eastAsia="zh-CN"/>
                              </w:rPr>
                              <w:t>5</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2026</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仲路芹</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2026</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1004</w:t>
                      </w:r>
                      <w:r>
                        <w:rPr>
                          <w:rFonts w:hint="eastAsia" w:eastAsia="仿宋_GB2312" w:cs="Times New Roman"/>
                          <w:b/>
                          <w:spacing w:val="10"/>
                          <w:szCs w:val="24"/>
                          <w:lang w:eastAsia="zh-CN"/>
                        </w:rPr>
                        <w:t>-</w:t>
                      </w:r>
                      <w:r>
                        <w:rPr>
                          <w:rFonts w:hint="eastAsia" w:eastAsia="仿宋_GB2312" w:cs="Times New Roman"/>
                          <w:b/>
                          <w:spacing w:val="10"/>
                          <w:szCs w:val="24"/>
                          <w:lang w:eastAsia="zh-CN"/>
                        </w:rPr>
                        <w:t>5</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pPr>
        <w:ind w:firstLine="480"/>
        <w:jc w:val="left"/>
        <w:rPr>
          <w:rFonts w:hint="default" w:ascii="Times New Roman" w:hAnsi="Times New Roman" w:eastAsia="仿宋" w:cs="Times New Roman"/>
        </w:rPr>
      </w:pPr>
    </w:p>
    <w:p>
      <w:pPr>
        <w:ind w:left="4834" w:leftChars="2014" w:firstLine="480"/>
        <w:rPr>
          <w:rFonts w:hint="default" w:ascii="Times New Roman" w:hAnsi="Times New Roman" w:eastAsia="仿宋" w:cs="Times New Roman"/>
          <w:b/>
          <w:sz w:val="32"/>
          <w:szCs w:val="32"/>
        </w:rPr>
      </w:pPr>
    </w:p>
    <w:p>
      <w:pPr>
        <w:ind w:firstLine="480"/>
        <w:jc w:val="center"/>
        <w:rPr>
          <w:rFonts w:hint="default" w:ascii="Times New Roman" w:hAnsi="Times New Roman" w:eastAsia="仿宋" w:cs="Times New Roman"/>
          <w:spacing w:val="16"/>
          <w:sz w:val="36"/>
          <w:szCs w:val="36"/>
        </w:rPr>
      </w:pPr>
    </w:p>
    <w:p>
      <w:pPr>
        <w:ind w:firstLine="600" w:firstLineChars="200"/>
        <w:rPr>
          <w:rFonts w:hint="default" w:ascii="Times New Roman" w:hAnsi="Times New Roman" w:eastAsia="仿宋" w:cs="Times New Roman"/>
          <w:sz w:val="30"/>
        </w:rPr>
      </w:pPr>
    </w:p>
    <w:p>
      <w:pPr>
        <w:ind w:firstLine="480"/>
        <w:rPr>
          <w:rFonts w:hint="default" w:ascii="Times New Roman" w:hAnsi="Times New Roman" w:eastAsia="仿宋" w:cs="Times New Roman"/>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b/>
          <w:spacing w:val="10"/>
          <w:szCs w:val="24"/>
        </w:rPr>
      </w:pPr>
      <w:bookmarkStart w:id="0" w:name="OLE_LINK21"/>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jc w:val="center"/>
        <w:rPr>
          <w:rFonts w:hint="default" w:ascii="Times New Roman" w:hAnsi="Times New Roman" w:eastAsia="仿宋" w:cs="Times New Roman"/>
          <w:b/>
          <w:sz w:val="28"/>
          <w:szCs w:val="28"/>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rPr>
          <w:rFonts w:hint="default" w:ascii="Times New Roman" w:hAnsi="Times New Roman" w:eastAsia="仿宋" w:cs="Times New Roman"/>
        </w:rPr>
      </w:pPr>
    </w:p>
    <w:p>
      <w:pPr>
        <w:pStyle w:val="2"/>
        <w:rPr>
          <w:rFonts w:hint="default" w:ascii="Times New Roman" w:hAnsi="Times New Roman" w:cs="Times New Roman"/>
        </w:rPr>
      </w:pPr>
    </w:p>
    <w:p>
      <w:pPr>
        <w:tabs>
          <w:tab w:val="left" w:pos="0"/>
        </w:tabs>
        <w:ind w:firstLine="0"/>
        <w:jc w:val="center"/>
        <w:rPr>
          <w:rFonts w:hint="default" w:ascii="Times New Roman" w:hAnsi="Times New Roman" w:eastAsia="仿宋" w:cs="Times New Roman"/>
          <w:b/>
          <w:spacing w:val="10"/>
          <w:szCs w:val="24"/>
        </w:rPr>
      </w:pPr>
      <w:r>
        <w:rPr>
          <w:rFonts w:hint="default" w:ascii="Times New Roman" w:hAnsi="Times New Roman" w:eastAsia="仿宋" w:cs="Times New Roman"/>
          <w:b/>
          <w:sz w:val="28"/>
          <w:szCs w:val="28"/>
        </w:rPr>
        <w:t>江苏天地恒安房地产土地资产评估有限公司</w:t>
      </w:r>
    </w:p>
    <w:bookmarkEnd w:id="0"/>
    <w:p>
      <w:pPr>
        <w:snapToGrid w:val="0"/>
        <w:ind w:firstLine="0"/>
        <w:jc w:val="center"/>
        <w:rPr>
          <w:rFonts w:hint="eastAsia" w:ascii="Times New Roman" w:hAnsi="Times New Roman" w:eastAsia="仿宋" w:cs="Times New Roman"/>
          <w:b/>
          <w:sz w:val="28"/>
          <w:szCs w:val="28"/>
          <w:lang w:eastAsia="zh-CN"/>
        </w:rPr>
      </w:pPr>
      <w:r>
        <w:rPr>
          <w:rFonts w:hint="eastAsia" w:eastAsia="仿宋" w:cs="Times New Roman"/>
          <w:b/>
          <w:sz w:val="28"/>
          <w:szCs w:val="28"/>
          <w:lang w:eastAsia="zh-CN"/>
        </w:rPr>
        <w:t>二〇二六年三月二十六日</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p>
    <w:p>
      <w:pPr>
        <w:tabs>
          <w:tab w:val="left" w:pos="0"/>
        </w:tabs>
        <w:ind w:left="480" w:leftChars="200" w:firstLine="0"/>
        <w:jc w:val="center"/>
        <w:rPr>
          <w:rFonts w:hint="default" w:ascii="Times New Roman" w:hAnsi="Times New Roman" w:eastAsia="仿宋" w:cs="Times New Roman"/>
          <w:szCs w:val="24"/>
        </w:rPr>
        <w:sectPr>
          <w:headerReference r:id="rId5" w:type="default"/>
          <w:footerReference r:id="rId6" w:type="default"/>
          <w:headerReference w:type="first" r:id="rId12"/>
          <w:headerReference w:type="even" r:id="rId13"/>
          <w:footerReference w:type="first" r:id="rId14"/>
          <w:footerReference w:type="even" r:id="rId15"/>
          <w:pgSz w:w="11907" w:h="16840"/>
          <w:pgMar w:top="1247" w:right="1197" w:bottom="1247" w:left="1797" w:header="567" w:footer="516" w:gutter="0"/>
          <w:pgBorders>
            <w:top w:val="none" w:sz="0" w:space="0"/>
            <w:left w:val="none" w:sz="0" w:space="0"/>
            <w:bottom w:val="none" w:sz="0" w:space="0"/>
            <w:right w:val="none" w:sz="0" w:space="0"/>
          </w:pgBorders>
          <w:pgNumType w:start="0"/>
          <w:cols w:space="720" w:num="1"/>
          <w:docGrid w:linePitch="326" w:charSpace="0"/>
        </w:sectPr>
      </w:pPr>
    </w:p>
    <w:p>
      <w:pPr>
        <w:tabs>
          <w:tab w:val="left" w:pos="0"/>
        </w:tabs>
        <w:ind w:left="480" w:leftChars="200" w:firstLine="0"/>
        <w:jc w:val="center"/>
        <w:rPr>
          <w:rFonts w:hint="default" w:ascii="Times New Roman" w:hAnsi="Times New Roman" w:eastAsia="仿宋" w:cs="Times New Roman"/>
          <w:szCs w:val="24"/>
        </w:rPr>
      </w:pPr>
    </w:p>
    <w:p>
      <w:pPr>
        <w:tabs>
          <w:tab w:val="left" w:pos="0"/>
        </w:tabs>
        <w:ind w:firstLine="0"/>
        <w:jc w:val="center"/>
        <w:rPr>
          <w:rFonts w:hint="default" w:ascii="Times New Roman" w:hAnsi="Times New Roman" w:eastAsia="仿宋" w:cs="Times New Roman"/>
          <w:b/>
          <w:spacing w:val="10"/>
          <w:sz w:val="30"/>
        </w:rPr>
      </w:pPr>
      <w:bookmarkStart w:id="1" w:name="目录"/>
      <w:r>
        <w:rPr>
          <w:rFonts w:hint="default" w:ascii="Times New Roman" w:hAnsi="Times New Roman" w:eastAsia="仿宋" w:cs="Times New Roman"/>
          <w:b/>
          <w:spacing w:val="10"/>
          <w:sz w:val="30"/>
        </w:rPr>
        <w:t>目  录</w:t>
      </w:r>
      <w:bookmarkEnd w:id="1"/>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TOC \o "1-3" </w:instrText>
      </w:r>
      <w:r>
        <w:rPr>
          <w:rFonts w:hint="default" w:ascii="Times New Roman" w:hAnsi="Times New Roman" w:cs="Times New Roman"/>
        </w:rPr>
        <w:fldChar w:fldCharType="separate"/>
      </w:r>
      <w:r>
        <w:rPr>
          <w:rFonts w:hint="default" w:ascii="Times New Roman" w:hAnsi="Times New Roman" w:eastAsia="仿宋" w:cs="Times New Roman"/>
          <w:bCs/>
          <w:color w:val="auto"/>
          <w:szCs w:val="36"/>
          <w:u w:val="none"/>
        </w:rPr>
        <w:t>声  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_Toc10628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eastAsia="zh-CN"/>
        </w:rPr>
        <w:t>价值分析报告摘要</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_Toc4530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val="en-US" w:eastAsia="zh-CN"/>
        </w:rPr>
        <w:t>价值</w:t>
      </w:r>
      <w:r>
        <w:rPr>
          <w:rFonts w:hint="default" w:ascii="Times New Roman" w:hAnsi="Times New Roman" w:cs="Times New Roman"/>
          <w:lang w:eastAsia="zh-CN"/>
        </w:rPr>
        <w:t>分析报告</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_Toc27400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pacing w:val="-10"/>
          <w:szCs w:val="28"/>
        </w:rPr>
        <w:t>一、</w:t>
      </w:r>
      <w:r>
        <w:rPr>
          <w:rFonts w:hint="default" w:ascii="Times New Roman" w:hAnsi="Times New Roman" w:eastAsia="仿宋" w:cs="Times New Roman"/>
          <w:szCs w:val="28"/>
        </w:rPr>
        <w:t>委托人</w:t>
      </w:r>
      <w:r>
        <w:rPr>
          <w:rFonts w:hint="default" w:ascii="Times New Roman" w:hAnsi="Times New Roman" w:eastAsia="仿宋" w:cs="Times New Roman"/>
          <w:szCs w:val="28"/>
          <w:lang w:eastAsia="zh-CN"/>
        </w:rPr>
        <w:t>、</w:t>
      </w:r>
      <w:r>
        <w:rPr>
          <w:rFonts w:hint="default" w:ascii="Times New Roman" w:hAnsi="Times New Roman" w:eastAsia="仿宋" w:cs="Times New Roman"/>
          <w:szCs w:val="28"/>
        </w:rPr>
        <w:t>债务人及债务责任关联方简介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_Toc9297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二、价值分析目的</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_Toc30665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三、价值分析对象和价值分析范围</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_Toc20955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四、价值类型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_Toc3814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五、价值分析基准日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_Toc23539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六、价值分析思路和方法</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_Toc30321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七、价值分析程序实施过程和情况</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_Toc14196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八、价值分析假设</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_Toc17062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九、</w:t>
      </w:r>
      <w:r>
        <w:rPr>
          <w:rFonts w:hint="default" w:ascii="Times New Roman" w:hAnsi="Times New Roman" w:eastAsia="仿宋" w:cs="Times New Roman"/>
          <w:szCs w:val="28"/>
        </w:rPr>
        <w:t>价值分析结论</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_Toc30541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十、特别事项说明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_Toc21458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十一、价值分析报告使用限制说明</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_Toc5964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十二、价值分析报告日</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_Toc10350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十三、资产评估机构印章</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_Toc28227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p>
    <w:p>
      <w:pPr>
        <w:pStyle w:val="48"/>
        <w:tabs>
          <w:tab w:val="right" w:leader="dot" w:pos="8913"/>
          <w:tab w:val="clear" w:pos="8505"/>
        </w:tabs>
        <w:rPr>
          <w:rFonts w:hint="default" w:ascii="Times New Roman" w:hAnsi="Times New Roman" w:cs="Times New Roman"/>
        </w:rPr>
      </w:pPr>
      <w:r>
        <w:rPr>
          <w:rFonts w:hint="default" w:ascii="Times New Roman" w:hAnsi="Times New Roman" w:eastAsia="仿宋" w:cs="Times New Roman"/>
          <w:color w:val="auto"/>
          <w:szCs w:val="30"/>
          <w:u w:val="none"/>
          <w:lang w:val="en-US" w:eastAsia="zh-CN"/>
        </w:rPr>
        <w:t>价值分析</w:t>
      </w:r>
      <w:r>
        <w:rPr>
          <w:rFonts w:hint="default" w:ascii="Times New Roman" w:hAnsi="Times New Roman" w:eastAsia="仿宋" w:cs="Times New Roman"/>
          <w:color w:val="auto"/>
          <w:szCs w:val="30"/>
          <w:u w:val="none"/>
        </w:rPr>
        <w:t>报告附件</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_Toc19785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p>
    <w:p>
      <w:pPr>
        <w:keepNext w:val="0"/>
        <w:keepLines w:val="0"/>
        <w:pageBreakBefore w:val="0"/>
        <w:widowControl w:val="0"/>
        <w:tabs>
          <w:tab w:val="left" w:pos="0"/>
        </w:tabs>
        <w:kinsoku/>
        <w:wordWrap/>
        <w:overflowPunct/>
        <w:topLinePunct w:val="0"/>
        <w:bidi w:val="0"/>
        <w:spacing w:before="120" w:after="120"/>
        <w:ind w:right="-12" w:firstLine="0"/>
        <w:textAlignment w:val="auto"/>
        <w:rPr>
          <w:rFonts w:hint="default" w:ascii="Times New Roman" w:hAnsi="Times New Roman" w:eastAsia="仿宋" w:cs="Times New Roman"/>
          <w:b/>
          <w:snapToGrid w:val="0"/>
          <w:kern w:val="0"/>
          <w:szCs w:val="24"/>
        </w:rPr>
      </w:pPr>
      <w:r>
        <w:rPr>
          <w:rFonts w:hint="default" w:ascii="Times New Roman" w:hAnsi="Times New Roman" w:eastAsia="仿宋" w:cs="Times New Roman"/>
          <w:szCs w:val="24"/>
        </w:rPr>
        <w:fldChar w:fldCharType="end"/>
      </w:r>
    </w:p>
    <w:p>
      <w:pPr>
        <w:pStyle w:val="4"/>
        <w:spacing w:before="0" w:after="0" w:line="240" w:lineRule="auto"/>
        <w:ind w:firstLine="0"/>
        <w:jc w:val="center"/>
        <w:rPr>
          <w:rFonts w:hint="default" w:ascii="Times New Roman" w:hAnsi="Times New Roman" w:eastAsia="仿宋" w:cs="Times New Roman"/>
          <w:bCs/>
          <w:sz w:val="36"/>
          <w:szCs w:val="36"/>
        </w:rPr>
        <w:sectPr>
          <w:pgSz w:w="11907" w:h="16840"/>
          <w:pgMar w:top="1247" w:right="1197" w:bottom="1247" w:left="1797" w:header="567" w:footer="516" w:gutter="0"/>
          <w:pgBorders>
            <w:top w:val="none" w:sz="0" w:space="0"/>
            <w:left w:val="none" w:sz="0" w:space="0"/>
            <w:bottom w:val="none" w:sz="0" w:space="0"/>
            <w:right w:val="none" w:sz="0" w:space="0"/>
          </w:pgBorders>
          <w:pgNumType w:start="1"/>
          <w:cols w:space="720" w:num="1"/>
          <w:docGrid w:linePitch="326" w:charSpace="0"/>
        </w:sectPr>
      </w:pPr>
      <w:bookmarkStart w:id="2" w:name="_Toc260992929"/>
      <w:bookmarkStart w:id="3" w:name="_Toc165180882"/>
      <w:bookmarkStart w:id="4" w:name="_Toc445967711"/>
      <w:bookmarkStart w:id="5" w:name="_Toc445967576"/>
      <w:bookmarkStart w:id="6" w:name="_Toc469811357"/>
      <w:bookmarkStart w:id="7" w:name="_Toc477429867"/>
    </w:p>
    <w:p>
      <w:pPr>
        <w:pStyle w:val="4"/>
        <w:spacing w:before="0" w:after="0" w:line="240" w:lineRule="auto"/>
        <w:ind w:firstLine="0"/>
        <w:jc w:val="center"/>
        <w:rPr>
          <w:rFonts w:hint="default" w:ascii="Times New Roman" w:hAnsi="Times New Roman" w:eastAsia="仿宋" w:cs="Times New Roman"/>
          <w:bCs/>
          <w:sz w:val="36"/>
          <w:szCs w:val="36"/>
        </w:rPr>
      </w:pPr>
      <w:bookmarkStart w:id="8" w:name="_Toc10628"/>
      <w:r>
        <w:rPr>
          <w:rFonts w:hint="default" w:ascii="Times New Roman" w:hAnsi="Times New Roman" w:eastAsia="仿宋" w:cs="Times New Roman"/>
          <w:bCs/>
          <w:sz w:val="36"/>
          <w:szCs w:val="36"/>
        </w:rPr>
        <w:fldChar w:fldCharType="begin"/>
      </w:r>
      <w:r>
        <w:rPr>
          <w:rFonts w:hint="default" w:ascii="Times New Roman" w:hAnsi="Times New Roman" w:eastAsia="仿宋" w:cs="Times New Roman"/>
          <w:bCs/>
          <w:sz w:val="36"/>
          <w:szCs w:val="36"/>
        </w:rPr>
        <w:instrText xml:space="preserve"> HYPERLINK  \l "目录" </w:instrText>
      </w:r>
      <w:r>
        <w:rPr>
          <w:rFonts w:hint="default" w:ascii="Times New Roman" w:hAnsi="Times New Roman" w:eastAsia="仿宋" w:cs="Times New Roman"/>
          <w:bCs/>
          <w:sz w:val="36"/>
          <w:szCs w:val="36"/>
        </w:rPr>
        <w:fldChar w:fldCharType="separate"/>
      </w:r>
      <w:r>
        <w:rPr>
          <w:rStyle w:val="74"/>
          <w:rFonts w:hint="default" w:ascii="Times New Roman" w:hAnsi="Times New Roman" w:eastAsia="仿宋" w:cs="Times New Roman"/>
          <w:bCs/>
          <w:color w:val="auto"/>
          <w:sz w:val="36"/>
          <w:szCs w:val="36"/>
          <w:u w:val="none"/>
        </w:rPr>
        <w:t>声</w:t>
      </w:r>
      <w:bookmarkStart w:id="9" w:name="_Hlt475689408"/>
      <w:bookmarkEnd w:id="9"/>
      <w:bookmarkStart w:id="10" w:name="_Hlt475689927"/>
      <w:bookmarkEnd w:id="10"/>
      <w:r>
        <w:rPr>
          <w:rStyle w:val="74"/>
          <w:rFonts w:hint="default" w:ascii="Times New Roman" w:hAnsi="Times New Roman" w:eastAsia="仿宋" w:cs="Times New Roman"/>
          <w:bCs/>
          <w:color w:val="auto"/>
          <w:sz w:val="36"/>
          <w:szCs w:val="36"/>
          <w:u w:val="none"/>
        </w:rPr>
        <w:t xml:space="preserve">  明</w:t>
      </w:r>
      <w:bookmarkEnd w:id="2"/>
      <w:r>
        <w:rPr>
          <w:rFonts w:hint="default" w:ascii="Times New Roman" w:hAnsi="Times New Roman" w:eastAsia="仿宋" w:cs="Times New Roman"/>
          <w:bCs/>
          <w:sz w:val="36"/>
          <w:szCs w:val="36"/>
        </w:rPr>
        <w:fldChar w:fldCharType="end"/>
      </w:r>
      <w:bookmarkEnd w:id="8"/>
    </w:p>
    <w:p>
      <w:pPr>
        <w:ind w:firstLine="480" w:firstLineChars="200"/>
        <w:rPr>
          <w:rFonts w:hint="default" w:ascii="Times New Roman" w:hAnsi="Times New Roman" w:eastAsia="仿宋" w:cs="Times New Roman"/>
        </w:rPr>
      </w:pP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我们在执行本价值分析业务中，恪守独立、客观和公正的原则，根据我们在执业过程中收集的资料，价值分析报告陈述的内容是客观的，并对价值分析结论合理性承担相应的法律责任。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价值分析对象涉及的债权清单由委托人申报并经其签章确认；所提供资料的真实性、合法性、完整性，以及恰当使用价值分析报告是委托人和相关当事人的责任。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我们与价值分析报告中的价值分析对象没有现存或者预期的利益关系；与相关当事人没有现存或者预期的利益关系，对相关当事人不存在偏见。</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已对价值分析对象及其所涉及资产的法律权属状况给予必然的关注，对价值分析对象及其所涉及资产的法律权属资料进行了查验，并对已经发现的问题进行了如实披露，且已提醒委托人及相关当事人完善产权以满足出具价值分析报告的要求。</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pPr>
        <w:rPr>
          <w:rFonts w:hint="default" w:ascii="Times New Roman" w:hAnsi="Times New Roman" w:eastAsia="仿宋" w:cs="Times New Roman"/>
          <w:szCs w:val="24"/>
        </w:rPr>
      </w:pPr>
      <w:r>
        <w:rPr>
          <w:rFonts w:hint="default" w:ascii="Times New Roman" w:hAnsi="Times New Roman" w:eastAsia="仿宋" w:cs="Times New Roman"/>
          <w:szCs w:val="24"/>
        </w:rPr>
        <w:br w:type="page"/>
      </w:r>
    </w:p>
    <w:p>
      <w:pPr>
        <w:spacing w:line="60" w:lineRule="auto"/>
        <w:ind w:firstLine="0"/>
        <w:rPr>
          <w:rFonts w:hint="default" w:ascii="Times New Roman" w:hAnsi="Times New Roman" w:eastAsia="仿宋" w:cs="Times New Roman"/>
          <w:b/>
          <w:sz w:val="36"/>
          <w:szCs w:val="36"/>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2026</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val="en-US"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仲路芹</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lang w:eastAsia="zh-CN"/>
        </w:rPr>
      </w:pPr>
      <w:bookmarkStart w:id="11" w:name="_Toc4530"/>
      <w:r>
        <w:rPr>
          <w:rFonts w:hint="default" w:ascii="Times New Roman" w:hAnsi="Times New Roman" w:eastAsia="仿宋" w:cs="Times New Roman"/>
          <w:sz w:val="32"/>
          <w:szCs w:val="32"/>
          <w:lang w:eastAsia="zh-CN"/>
        </w:rPr>
        <w:t>债权清算价值分析报告摘要</w:t>
      </w:r>
      <w:bookmarkEnd w:id="11"/>
    </w:p>
    <w:bookmarkEnd w:id="3"/>
    <w:bookmarkEnd w:id="4"/>
    <w:bookmarkEnd w:id="5"/>
    <w:bookmarkEnd w:id="6"/>
    <w:bookmarkEnd w:id="7"/>
    <w:p>
      <w:pPr>
        <w:keepNext w:val="0"/>
        <w:keepLines w:val="0"/>
        <w:pageBreakBefore w:val="0"/>
        <w:widowControl w:val="0"/>
        <w:pBdr>
          <w:bottom w:val="single" w:color="auto" w:sz="6" w:space="1"/>
        </w:pBdr>
        <w:kinsoku/>
        <w:wordWrap/>
        <w:overflowPunct/>
        <w:topLinePunct w:val="0"/>
        <w:autoSpaceDE/>
        <w:autoSpaceDN/>
        <w:bidi w:val="0"/>
        <w:adjustRightInd/>
        <w:snapToGrid/>
        <w:spacing w:before="240" w:beforeLines="100" w:after="120" w:afterLines="50"/>
        <w:ind w:firstLine="0"/>
        <w:jc w:val="center"/>
        <w:textAlignment w:val="auto"/>
        <w:rPr>
          <w:rFonts w:hint="default" w:ascii="Times New Roman" w:hAnsi="Times New Roman" w:eastAsia="仿宋" w:cs="Times New Roman"/>
          <w:b/>
          <w:sz w:val="24"/>
          <w:szCs w:val="32"/>
          <w:lang w:eastAsia="zh-CN"/>
        </w:rPr>
      </w:pPr>
      <w:r>
        <w:rPr>
          <w:rFonts w:hint="eastAsia" w:eastAsia="仿宋" w:cs="Times New Roman"/>
          <w:b/>
          <w:sz w:val="24"/>
          <w:szCs w:val="32"/>
          <w:lang w:eastAsia="zh-CN"/>
        </w:rPr>
        <w:t>天地恒安[</w:t>
      </w:r>
      <w:r>
        <w:rPr>
          <w:rFonts w:hint="eastAsia" w:eastAsia="仿宋" w:cs="Times New Roman"/>
          <w:b/>
          <w:sz w:val="24"/>
          <w:szCs w:val="32"/>
          <w:lang w:eastAsia="zh-CN"/>
        </w:rPr>
        <w:t>2026</w:t>
      </w:r>
      <w:r>
        <w:rPr>
          <w:rFonts w:hint="eastAsia" w:eastAsia="仿宋" w:cs="Times New Roman"/>
          <w:b/>
          <w:sz w:val="24"/>
          <w:szCs w:val="32"/>
          <w:lang w:eastAsia="zh-CN"/>
        </w:rPr>
        <w:t>]资评咨字第</w:t>
      </w:r>
      <w:r>
        <w:rPr>
          <w:rFonts w:hint="eastAsia" w:eastAsia="仿宋" w:cs="Times New Roman"/>
          <w:b/>
          <w:sz w:val="24"/>
          <w:szCs w:val="32"/>
          <w:lang w:eastAsia="zh-CN"/>
        </w:rPr>
        <w:t>1004</w:t>
      </w:r>
      <w:r>
        <w:rPr>
          <w:rFonts w:hint="eastAsia" w:eastAsia="仿宋" w:cs="Times New Roman"/>
          <w:b/>
          <w:sz w:val="24"/>
          <w:szCs w:val="32"/>
          <w:lang w:eastAsia="zh-CN"/>
        </w:rPr>
        <w:t>-</w:t>
      </w:r>
      <w:r>
        <w:rPr>
          <w:rFonts w:hint="eastAsia" w:eastAsia="仿宋" w:cs="Times New Roman"/>
          <w:b/>
          <w:sz w:val="24"/>
          <w:szCs w:val="32"/>
          <w:lang w:eastAsia="zh-CN"/>
        </w:rPr>
        <w:t>5</w:t>
      </w:r>
      <w:r>
        <w:rPr>
          <w:rFonts w:hint="eastAsia" w:eastAsia="仿宋" w:cs="Times New Roman"/>
          <w:b/>
          <w:sz w:val="24"/>
          <w:szCs w:val="32"/>
          <w:lang w:eastAsia="zh-CN"/>
        </w:rPr>
        <w:t>号</w:t>
      </w:r>
    </w:p>
    <w:p>
      <w:pPr>
        <w:keepNext w:val="0"/>
        <w:keepLines w:val="0"/>
        <w:pageBreakBefore w:val="0"/>
        <w:widowControl w:val="0"/>
        <w:kinsoku/>
        <w:wordWrap/>
        <w:overflowPunct/>
        <w:topLinePunct w:val="0"/>
        <w:autoSpaceDE/>
        <w:autoSpaceDN/>
        <w:bidi w:val="0"/>
        <w:adjustRightInd/>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江苏天地恒安房地产土地资产评估有限公司接受</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的委托，坚持独立、客观、公正的原则，采用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2026</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仲路芹</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2025年12月31日</w:t>
      </w:r>
      <w:r>
        <w:rPr>
          <w:rFonts w:hint="default" w:ascii="Times New Roman" w:hAnsi="Times New Roman" w:eastAsia="仿宋" w:cs="Times New Roman"/>
          <w:szCs w:val="24"/>
        </w:rPr>
        <w:t>的清算价值进行了价值分析。</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bCs/>
          <w:sz w:val="24"/>
          <w:szCs w:val="24"/>
        </w:rPr>
        <w:t>价值分析目的</w:t>
      </w:r>
    </w:p>
    <w:p>
      <w:pPr>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仲路芹</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债权资产的清算价值进行价值分析，为委托人提供价值参考。</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价值分析对象</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本项目的价值分析对象为单项资产</w:t>
      </w:r>
      <w:r>
        <w:rPr>
          <w:rFonts w:hint="default" w:ascii="Times New Roman" w:hAnsi="Times New Roman" w:eastAsia="仿宋" w:cs="Times New Roman"/>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价值分析范围</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仲路芹</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价值类型</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清算</w:t>
      </w:r>
      <w:r>
        <w:rPr>
          <w:rFonts w:hint="default" w:ascii="Times New Roman" w:hAnsi="Times New Roman" w:eastAsia="仿宋" w:cs="Times New Roman"/>
          <w:szCs w:val="24"/>
        </w:rPr>
        <w:t>价值。</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价值分析基准日</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eastAsia" w:eastAsia="仿宋" w:cs="Times New Roman"/>
          <w:szCs w:val="24"/>
          <w:lang w:eastAsia="zh-CN"/>
        </w:rPr>
        <w:t>2025年12月31日</w:t>
      </w:r>
      <w:r>
        <w:rPr>
          <w:rFonts w:hint="default" w:ascii="Times New Roman" w:hAnsi="Times New Roman" w:eastAsia="仿宋" w:cs="Times New Roman"/>
          <w:szCs w:val="24"/>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价值分析方法</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本次价值分析采用市场法。</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价值分析结论及其使用有效期</w:t>
      </w:r>
    </w:p>
    <w:p>
      <w:pPr>
        <w:pStyle w:val="3"/>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中国工商银行股份有限公司苏州分行</w:t>
      </w:r>
      <w:r>
        <w:rPr>
          <w:rFonts w:hint="default" w:ascii="Times New Roman" w:hAnsi="Times New Roman" w:eastAsia="仿宋" w:cs="Times New Roman"/>
          <w:kern w:val="2"/>
          <w:sz w:val="24"/>
          <w:szCs w:val="24"/>
          <w:lang w:val="en-US" w:eastAsia="zh-CN" w:bidi="ar-SA"/>
        </w:rPr>
        <w:t>2026</w:t>
      </w:r>
      <w:r>
        <w:rPr>
          <w:rFonts w:hint="default" w:ascii="Times New Roman" w:hAnsi="Times New Roman" w:eastAsia="仿宋" w:cs="Times New Roman"/>
          <w:kern w:val="2"/>
          <w:sz w:val="24"/>
          <w:szCs w:val="24"/>
          <w:lang w:val="en-US" w:eastAsia="zh-CN" w:bidi="ar-SA"/>
        </w:rPr>
        <w:t>年住房类个贷不良资产证券化项目涉及的</w:t>
      </w:r>
      <w:r>
        <w:rPr>
          <w:rFonts w:hint="default" w:ascii="Times New Roman" w:hAnsi="Times New Roman" w:eastAsia="仿宋" w:cs="Times New Roman"/>
          <w:kern w:val="2"/>
          <w:sz w:val="24"/>
          <w:szCs w:val="24"/>
          <w:lang w:val="en-US" w:eastAsia="zh-CN" w:bidi="ar-SA"/>
        </w:rPr>
        <w:t>仲路芹</w:t>
      </w:r>
      <w:r>
        <w:rPr>
          <w:rFonts w:hint="default" w:ascii="Times New Roman" w:hAnsi="Times New Roman" w:eastAsia="仿宋" w:cs="Times New Roman"/>
          <w:kern w:val="2"/>
          <w:sz w:val="24"/>
          <w:szCs w:val="24"/>
          <w:lang w:val="en-US" w:eastAsia="zh-CN" w:bidi="ar-SA"/>
        </w:rPr>
        <w:t>户债权于分析基准日</w:t>
      </w:r>
      <w:r>
        <w:rPr>
          <w:rFonts w:hint="default" w:ascii="Times New Roman" w:hAnsi="Times New Roman" w:eastAsia="仿宋" w:cs="Times New Roman"/>
          <w:kern w:val="2"/>
          <w:sz w:val="24"/>
          <w:szCs w:val="24"/>
          <w:lang w:val="en-US" w:eastAsia="zh-CN" w:bidi="ar-SA"/>
        </w:rPr>
        <w:t>2025年12月31日</w:t>
      </w:r>
      <w:r>
        <w:rPr>
          <w:rFonts w:hint="default" w:ascii="Times New Roman" w:hAnsi="Times New Roman" w:eastAsia="仿宋" w:cs="Times New Roman"/>
          <w:kern w:val="2"/>
          <w:sz w:val="24"/>
          <w:szCs w:val="24"/>
          <w:lang w:val="en-US" w:eastAsia="zh-CN" w:bidi="ar-SA"/>
        </w:rPr>
        <w:t>的剩余债权金额为</w:t>
      </w:r>
      <w:r>
        <w:rPr>
          <w:rFonts w:hint="default" w:ascii="Times New Roman" w:hAnsi="Times New Roman" w:eastAsia="仿宋" w:cs="Times New Roman"/>
          <w:kern w:val="2"/>
          <w:sz w:val="24"/>
          <w:szCs w:val="24"/>
          <w:lang w:val="en-US" w:eastAsia="zh-CN" w:bidi="ar-SA"/>
        </w:rPr>
        <w:t>55.91</w:t>
      </w:r>
      <w:r>
        <w:rPr>
          <w:rFonts w:hint="default" w:ascii="Times New Roman" w:hAnsi="Times New Roman" w:eastAsia="仿宋" w:cs="Times New Roman"/>
          <w:kern w:val="2"/>
          <w:sz w:val="24"/>
          <w:szCs w:val="24"/>
          <w:lang w:val="en-US" w:eastAsia="zh-CN" w:bidi="ar-SA"/>
        </w:rPr>
        <w:t>万元，在快速变现前提下分析价值为</w:t>
      </w:r>
      <w:r>
        <w:rPr>
          <w:rFonts w:hint="default" w:ascii="Times New Roman" w:hAnsi="Times New Roman" w:eastAsia="仿宋" w:cs="Times New Roman"/>
          <w:kern w:val="2"/>
          <w:sz w:val="24"/>
          <w:szCs w:val="24"/>
          <w:lang w:val="en-US" w:eastAsia="zh-CN" w:bidi="ar-SA"/>
        </w:rPr>
        <w:t>55.91</w:t>
      </w:r>
      <w:r>
        <w:rPr>
          <w:rFonts w:hint="default" w:ascii="Times New Roman" w:hAnsi="Times New Roman" w:eastAsia="仿宋" w:cs="Times New Roman"/>
          <w:kern w:val="2"/>
          <w:sz w:val="24"/>
          <w:szCs w:val="24"/>
          <w:lang w:val="en-US" w:eastAsia="zh-CN" w:bidi="ar-SA"/>
        </w:rPr>
        <w:t>万元，预计偿债率为</w:t>
      </w:r>
      <w:r>
        <w:rPr>
          <w:rFonts w:hint="default" w:ascii="Times New Roman" w:hAnsi="Times New Roman" w:eastAsia="仿宋" w:cs="Times New Roman"/>
          <w:kern w:val="2"/>
          <w:sz w:val="24"/>
          <w:szCs w:val="24"/>
          <w:lang w:val="en-US" w:eastAsia="zh-CN" w:bidi="ar-SA"/>
        </w:rPr>
        <w:t>100.00%</w:t>
      </w:r>
      <w:r>
        <w:rPr>
          <w:rFonts w:hint="default" w:ascii="Times New Roman" w:hAnsi="Times New Roman" w:eastAsia="仿宋" w:cs="Times New Roman"/>
          <w:kern w:val="2"/>
          <w:sz w:val="24"/>
          <w:szCs w:val="24"/>
          <w:lang w:val="en-US" w:eastAsia="zh-CN" w:bidi="ar-SA"/>
        </w:rPr>
        <w:t>（取整至百位，详见价值分析估算表）。</w:t>
      </w:r>
    </w:p>
    <w:p>
      <w:pPr>
        <w:keepNext w:val="0"/>
        <w:keepLines w:val="0"/>
        <w:pageBreakBefore w:val="0"/>
        <w:widowControl w:val="0"/>
        <w:kinsoku/>
        <w:wordWrap/>
        <w:overflowPunct/>
        <w:topLinePunct w:val="0"/>
        <w:autoSpaceDE w:val="0"/>
        <w:autoSpaceDN w:val="0"/>
        <w:bidi w:val="0"/>
        <w:adjustRightInd w:val="0"/>
        <w:snapToGrid w:val="0"/>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kern w:val="2"/>
          <w:sz w:val="24"/>
          <w:szCs w:val="24"/>
          <w:lang w:val="en-US" w:eastAsia="zh-CN" w:bidi="ar-SA"/>
        </w:rPr>
        <w:t>2025年12月31日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2026年6月29日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szCs w:val="24"/>
        </w:rPr>
        <w:t>。</w:t>
      </w:r>
    </w:p>
    <w:bookmarkEnd w:id="12"/>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重要事项说明：</w:t>
      </w:r>
    </w:p>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以上内容摘自价值分析报告正文，欲了解本价值分析业务的详细情况和正确理解分析结论，应完整阅读报告正文。</w:t>
      </w:r>
      <w:bookmarkStart w:id="13" w:name="_Toc477429869"/>
      <w:bookmarkStart w:id="14" w:name="_Toc469811359"/>
      <w:bookmarkStart w:id="15" w:name="_Toc445967713"/>
      <w:bookmarkStart w:id="16" w:name="_Toc165180884"/>
      <w:bookmarkStart w:id="17" w:name="_Toc445967578"/>
    </w:p>
    <w:p>
      <w:pPr>
        <w:rPr>
          <w:rFonts w:hint="default" w:ascii="Times New Roman" w:hAnsi="Times New Roman" w:cs="Times New Roman"/>
        </w:rPr>
      </w:pPr>
      <w:r>
        <w:rPr>
          <w:rFonts w:hint="default" w:ascii="Times New Roman" w:hAnsi="Times New Roman" w:cs="Times New Roman"/>
        </w:rPr>
        <w:br w:type="page"/>
      </w:r>
    </w:p>
    <w:p>
      <w:pPr>
        <w:spacing w:line="60" w:lineRule="auto"/>
        <w:ind w:firstLine="0"/>
        <w:rPr>
          <w:rFonts w:hint="default" w:ascii="Times New Roman" w:hAnsi="Times New Roman" w:eastAsia="仿宋" w:cs="Times New Roman"/>
          <w:szCs w:val="24"/>
          <w:lang w:eastAsia="zh-CN"/>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2026</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仲路芹</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rPr>
      </w:pPr>
      <w:bookmarkStart w:id="18" w:name="_Toc27400"/>
      <w:r>
        <w:rPr>
          <w:rFonts w:hint="default" w:ascii="Times New Roman" w:hAnsi="Times New Roman" w:eastAsia="仿宋" w:cs="Times New Roman"/>
          <w:sz w:val="32"/>
          <w:szCs w:val="32"/>
          <w:lang w:eastAsia="zh-CN"/>
        </w:rPr>
        <w:t>债权清算</w:t>
      </w:r>
      <w:r>
        <w:rPr>
          <w:rFonts w:hint="default" w:ascii="Times New Roman" w:hAnsi="Times New Roman" w:eastAsia="仿宋" w:cs="Times New Roman"/>
          <w:sz w:val="32"/>
          <w:szCs w:val="32"/>
          <w:lang w:val="en-US" w:eastAsia="zh-CN"/>
        </w:rPr>
        <w:t>价值</w:t>
      </w:r>
      <w:r>
        <w:rPr>
          <w:rFonts w:hint="default" w:ascii="Times New Roman" w:hAnsi="Times New Roman" w:eastAsia="仿宋" w:cs="Times New Roman"/>
          <w:sz w:val="32"/>
          <w:szCs w:val="32"/>
          <w:lang w:eastAsia="zh-CN"/>
        </w:rPr>
        <w:t>分析报告</w:t>
      </w:r>
      <w:bookmarkEnd w:id="18"/>
    </w:p>
    <w:p>
      <w:pPr>
        <w:pBdr>
          <w:bottom w:val="single" w:color="auto" w:sz="6" w:space="1"/>
        </w:pBdr>
        <w:spacing w:before="240" w:beforeLines="100" w:after="120" w:afterLines="50"/>
        <w:ind w:firstLine="0"/>
        <w:jc w:val="center"/>
        <w:rPr>
          <w:rFonts w:hint="default" w:ascii="Times New Roman" w:hAnsi="Times New Roman" w:eastAsia="仿宋" w:cs="Times New Roman"/>
          <w:b/>
          <w:sz w:val="24"/>
          <w:szCs w:val="32"/>
          <w:lang w:eastAsia="zh-CN"/>
        </w:rPr>
      </w:pPr>
      <w:bookmarkStart w:id="19" w:name="OLE_LINK4"/>
      <w:r>
        <w:rPr>
          <w:rFonts w:hint="eastAsia" w:eastAsia="仿宋" w:cs="Times New Roman"/>
          <w:b/>
          <w:sz w:val="24"/>
          <w:szCs w:val="32"/>
          <w:lang w:eastAsia="zh-CN"/>
        </w:rPr>
        <w:t>天地恒安[</w:t>
      </w:r>
      <w:r>
        <w:rPr>
          <w:rFonts w:hint="eastAsia" w:eastAsia="仿宋" w:cs="Times New Roman"/>
          <w:b/>
          <w:sz w:val="24"/>
          <w:szCs w:val="32"/>
          <w:lang w:eastAsia="zh-CN"/>
        </w:rPr>
        <w:t>2026</w:t>
      </w:r>
      <w:r>
        <w:rPr>
          <w:rFonts w:hint="eastAsia" w:eastAsia="仿宋" w:cs="Times New Roman"/>
          <w:b/>
          <w:sz w:val="24"/>
          <w:szCs w:val="32"/>
          <w:lang w:eastAsia="zh-CN"/>
        </w:rPr>
        <w:t>]资评咨字第</w:t>
      </w:r>
      <w:r>
        <w:rPr>
          <w:rFonts w:hint="eastAsia" w:eastAsia="仿宋" w:cs="Times New Roman"/>
          <w:b/>
          <w:sz w:val="24"/>
          <w:szCs w:val="32"/>
          <w:lang w:eastAsia="zh-CN"/>
        </w:rPr>
        <w:t>1004</w:t>
      </w:r>
      <w:r>
        <w:rPr>
          <w:rFonts w:hint="eastAsia" w:eastAsia="仿宋" w:cs="Times New Roman"/>
          <w:b/>
          <w:sz w:val="24"/>
          <w:szCs w:val="32"/>
          <w:lang w:eastAsia="zh-CN"/>
        </w:rPr>
        <w:t>-</w:t>
      </w:r>
      <w:r>
        <w:rPr>
          <w:rFonts w:hint="eastAsia" w:eastAsia="仿宋" w:cs="Times New Roman"/>
          <w:b/>
          <w:sz w:val="24"/>
          <w:szCs w:val="32"/>
          <w:lang w:eastAsia="zh-CN"/>
        </w:rPr>
        <w:t>5</w:t>
      </w:r>
      <w:r>
        <w:rPr>
          <w:rFonts w:hint="eastAsia" w:eastAsia="仿宋" w:cs="Times New Roman"/>
          <w:b/>
          <w:sz w:val="24"/>
          <w:szCs w:val="32"/>
          <w:lang w:eastAsia="zh-CN"/>
        </w:rPr>
        <w:t>号</w:t>
      </w:r>
    </w:p>
    <w:bookmarkEnd w:id="13"/>
    <w:bookmarkEnd w:id="14"/>
    <w:bookmarkEnd w:id="15"/>
    <w:bookmarkEnd w:id="16"/>
    <w:bookmarkEnd w:id="17"/>
    <w:bookmarkEnd w:id="19"/>
    <w:p>
      <w:pPr>
        <w:spacing w:before="240" w:beforeLines="100"/>
        <w:ind w:firstLine="0"/>
        <w:rPr>
          <w:rFonts w:hint="default" w:ascii="Times New Roman" w:hAnsi="Times New Roman" w:eastAsia="仿宋" w:cs="Times New Roman"/>
          <w:szCs w:val="24"/>
        </w:rPr>
      </w:pPr>
      <w:r>
        <w:rPr>
          <w:rFonts w:hint="default" w:ascii="Times New Roman" w:hAnsi="Times New Roman" w:eastAsia="仿宋" w:cs="Times New Roman"/>
          <w:b/>
          <w:bCs/>
          <w:szCs w:val="24"/>
          <w:lang w:eastAsia="zh-CN"/>
        </w:rPr>
        <w:t>中国工商银行股份有限公司苏州分行</w:t>
      </w:r>
      <w:r>
        <w:rPr>
          <w:rFonts w:hint="default" w:ascii="Times New Roman" w:hAnsi="Times New Roman" w:eastAsia="仿宋" w:cs="Times New Roman"/>
          <w:szCs w:val="24"/>
        </w:rPr>
        <w:t>：</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w:t>
      </w:r>
      <w:r>
        <w:rPr>
          <w:rFonts w:hint="default" w:ascii="Times New Roman" w:hAnsi="Times New Roman" w:eastAsia="仿宋" w:cs="Times New Roman"/>
        </w:rPr>
        <w:t>接受贵</w:t>
      </w:r>
      <w:r>
        <w:rPr>
          <w:rFonts w:hint="default" w:ascii="Times New Roman" w:hAnsi="Times New Roman" w:eastAsia="仿宋" w:cs="Times New Roman"/>
          <w:lang w:val="en-US" w:eastAsia="zh-CN"/>
        </w:rPr>
        <w:t>行</w:t>
      </w:r>
      <w:r>
        <w:rPr>
          <w:rFonts w:hint="default" w:ascii="Times New Roman" w:hAnsi="Times New Roman" w:eastAsia="仿宋" w:cs="Times New Roman"/>
          <w:szCs w:val="24"/>
        </w:rPr>
        <w:t>的</w:t>
      </w:r>
      <w:r>
        <w:rPr>
          <w:rFonts w:hint="default" w:ascii="Times New Roman" w:hAnsi="Times New Roman" w:eastAsia="仿宋" w:cs="Times New Roman"/>
          <w:szCs w:val="24"/>
          <w:lang w:eastAsia="zh-CN"/>
        </w:rPr>
        <w:t>委托</w:t>
      </w:r>
      <w:r>
        <w:rPr>
          <w:rFonts w:hint="default" w:ascii="Times New Roman" w:hAnsi="Times New Roman" w:eastAsia="仿宋" w:cs="Times New Roman"/>
          <w:szCs w:val="24"/>
        </w:rPr>
        <w:t>，坚持独立、客观、公正的原则，采用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2026</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仲路芹</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2025年12月31日</w:t>
      </w:r>
      <w:r>
        <w:rPr>
          <w:rFonts w:hint="default" w:ascii="Times New Roman" w:hAnsi="Times New Roman" w:eastAsia="仿宋" w:cs="Times New Roman"/>
          <w:szCs w:val="24"/>
        </w:rPr>
        <w:t>的清算价值进行了价值分析。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现将</w:t>
      </w:r>
      <w:r>
        <w:rPr>
          <w:rFonts w:hint="default" w:ascii="Times New Roman" w:hAnsi="Times New Roman" w:eastAsia="仿宋" w:cs="Times New Roman"/>
          <w:szCs w:val="24"/>
          <w:lang w:val="en-US" w:eastAsia="zh-CN"/>
        </w:rPr>
        <w:t>价值分析</w:t>
      </w:r>
      <w:r>
        <w:rPr>
          <w:rFonts w:hint="default" w:ascii="Times New Roman" w:hAnsi="Times New Roman" w:eastAsia="仿宋" w:cs="Times New Roman"/>
          <w:szCs w:val="24"/>
        </w:rPr>
        <w:t>情况报告如下：</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pacing w:val="-10"/>
          <w:sz w:val="28"/>
          <w:szCs w:val="28"/>
        </w:rPr>
      </w:pPr>
      <w:bookmarkStart w:id="20" w:name="_Toc9297"/>
      <w:r>
        <w:rPr>
          <w:rFonts w:hint="default" w:ascii="Times New Roman" w:hAnsi="Times New Roman" w:eastAsia="仿宋" w:cs="Times New Roman"/>
          <w:sz w:val="28"/>
          <w:szCs w:val="28"/>
        </w:rPr>
        <w:t>委托人</w:t>
      </w:r>
      <w:r>
        <w:rPr>
          <w:rFonts w:hint="default" w:ascii="Times New Roman" w:hAnsi="Times New Roman" w:eastAsia="仿宋" w:cs="Times New Roman"/>
          <w:sz w:val="28"/>
          <w:szCs w:val="28"/>
          <w:lang w:eastAsia="zh-CN"/>
        </w:rPr>
        <w:t>、</w:t>
      </w:r>
      <w:r>
        <w:rPr>
          <w:rFonts w:hint="default" w:ascii="Times New Roman" w:hAnsi="Times New Roman" w:eastAsia="仿宋" w:cs="Times New Roman"/>
          <w:sz w:val="28"/>
          <w:szCs w:val="28"/>
        </w:rPr>
        <w:t>债务人及债务责任关联方简介</w:t>
      </w:r>
      <w:bookmarkEnd w:id="20"/>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本项目委托人为中国工商银行股份有限公司苏州分行，债务人为</w:t>
      </w:r>
      <w:r>
        <w:rPr>
          <w:rFonts w:hint="default" w:ascii="Times New Roman" w:hAnsi="Times New Roman" w:eastAsia="仿宋" w:cs="Times New Roman"/>
          <w:szCs w:val="24"/>
        </w:rPr>
        <w:t>仲路芹及徐叶贤</w:t>
      </w:r>
      <w:r>
        <w:rPr>
          <w:rFonts w:hint="default" w:ascii="Times New Roman" w:hAnsi="Times New Roman" w:eastAsia="仿宋" w:cs="Times New Roman"/>
          <w:szCs w:val="24"/>
        </w:rPr>
        <w:t>。价值分析报告使用人为委托人。</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bookmarkStart w:id="21" w:name="_Toc445967714"/>
      <w:bookmarkStart w:id="22" w:name="_Toc477429870"/>
      <w:bookmarkStart w:id="23" w:name="_Toc469811360"/>
      <w:bookmarkStart w:id="24" w:name="_Toc445967579"/>
      <w:r>
        <w:rPr>
          <w:rFonts w:hint="default" w:ascii="Times New Roman" w:hAnsi="Times New Roman" w:eastAsia="仿宋" w:cs="Times New Roman"/>
          <w:b/>
          <w:szCs w:val="24"/>
        </w:rPr>
        <w:t>委托人</w:t>
      </w:r>
      <w:r>
        <w:rPr>
          <w:rFonts w:hint="default" w:ascii="Times New Roman" w:hAnsi="Times New Roman" w:eastAsia="仿宋" w:cs="Times New Roman"/>
          <w:b/>
          <w:szCs w:val="24"/>
          <w:lang w:val="en-US" w:eastAsia="zh-CN"/>
        </w:rPr>
        <w:t>简介</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名    称：中国工商银行股份有限公司苏州分行</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统一社会信用代码：9132050060821340XJ</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类    型：股份有限公司分公司（非上市）</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负 责 人：丛小东</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成立日期：1996年09月27日</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营业场所：苏州工业园区旺墩路122号</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债务人简介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债务人一</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仲路芹</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女</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320925199010122848</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江苏省苏州市吴中区胥口镇箭泾村（26）上胜村20号</w:t>
      </w:r>
      <w:r>
        <w:rPr>
          <w:rFonts w:hint="default" w:ascii="Times New Roman" w:hAnsi="Times New Roman" w:eastAsia="仿宋" w:cs="Times New Roman"/>
          <w:sz w:val="24"/>
          <w:szCs w:val="24"/>
          <w:lang w:eastAsia="zh-CN"/>
        </w:rPr>
        <w:t>。</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债务人二</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徐叶贤</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男</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320586198711246815</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江苏省苏州市吴中区香山街道香山村（18）上胜20号</w:t>
      </w:r>
      <w:r>
        <w:rPr>
          <w:rFonts w:hint="default" w:ascii="Times New Roman" w:hAnsi="Times New Roman" w:eastAsia="仿宋" w:cs="Times New Roman"/>
          <w:sz w:val="24"/>
          <w:szCs w:val="24"/>
          <w:lang w:eastAsia="zh-CN"/>
        </w:rPr>
        <w:t>。</w:t>
      </w:r>
    </w:p>
    <w:bookmarkEnd w:id="25"/>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委托合同约定的价值分析报告使用人</w:t>
      </w:r>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szCs w:val="24"/>
        </w:rPr>
        <w:t>委托合同约定价值分析报告使用人为委托人。</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6" w:name="_Toc3066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27" w:name="_Hlt475689506"/>
      <w:r>
        <w:rPr>
          <w:rFonts w:hint="default" w:ascii="Times New Roman" w:hAnsi="Times New Roman" w:eastAsia="仿宋" w:cs="Times New Roman"/>
          <w:sz w:val="28"/>
          <w:szCs w:val="28"/>
        </w:rPr>
        <w:t>价值分析目</w:t>
      </w:r>
      <w:bookmarkEnd w:id="27"/>
      <w:r>
        <w:rPr>
          <w:rFonts w:hint="default" w:ascii="Times New Roman" w:hAnsi="Times New Roman" w:eastAsia="仿宋" w:cs="Times New Roman"/>
          <w:sz w:val="28"/>
          <w:szCs w:val="28"/>
        </w:rPr>
        <w:t>的</w:t>
      </w:r>
      <w:r>
        <w:rPr>
          <w:rFonts w:hint="default" w:ascii="Times New Roman" w:hAnsi="Times New Roman" w:eastAsia="仿宋" w:cs="Times New Roman"/>
          <w:sz w:val="28"/>
          <w:szCs w:val="28"/>
        </w:rPr>
        <w:fldChar w:fldCharType="end"/>
      </w:r>
      <w:bookmarkEnd w:id="26"/>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bCs/>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仲路芹</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债权资产的清算价值进行价值分析，为委托人转让债权资产提供价值参考</w:t>
      </w:r>
      <w:r>
        <w:rPr>
          <w:rFonts w:hint="default" w:ascii="Times New Roman" w:hAnsi="Times New Roman" w:eastAsia="仿宋" w:cs="Times New Roman"/>
          <w:bCs/>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8" w:name="_Toc2095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价值分析对象和价值分析范围</w:t>
      </w:r>
      <w:r>
        <w:rPr>
          <w:rFonts w:hint="default" w:ascii="Times New Roman" w:hAnsi="Times New Roman" w:eastAsia="仿宋" w:cs="Times New Roman"/>
          <w:sz w:val="28"/>
          <w:szCs w:val="28"/>
        </w:rPr>
        <w:fldChar w:fldCharType="end"/>
      </w:r>
      <w:bookmarkEnd w:id="28"/>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bCs/>
        </w:rPr>
        <w:t>本次价值分析对象和价值分析范围与经济行为涉及的价值分析对象和价值分析范围一致</w:t>
      </w:r>
      <w:r>
        <w:rPr>
          <w:rFonts w:hint="default" w:ascii="Times New Roman" w:hAnsi="Times New Roman" w:eastAsia="仿宋" w:cs="Times New Roman"/>
          <w:szCs w:val="24"/>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价值分析对象</w:t>
      </w:r>
    </w:p>
    <w:p>
      <w:pPr>
        <w:autoSpaceDE w:val="0"/>
        <w:autoSpaceDN w:val="0"/>
        <w:ind w:right="57" w:firstLine="480" w:firstLineChars="200"/>
        <w:jc w:val="both"/>
        <w:textAlignment w:val="bottom"/>
        <w:rPr>
          <w:rFonts w:hint="default" w:ascii="Times New Roman" w:hAnsi="Times New Roman" w:eastAsia="仿宋" w:cs="Times New Roman"/>
          <w:bCs/>
          <w:lang w:eastAsia="zh-CN"/>
        </w:rPr>
      </w:pPr>
      <w:r>
        <w:rPr>
          <w:rFonts w:hint="default" w:ascii="Times New Roman" w:hAnsi="Times New Roman" w:eastAsia="仿宋" w:cs="Times New Roman"/>
          <w:bCs/>
        </w:rPr>
        <w:t>本项目的价值分析对象为单项资产</w:t>
      </w:r>
      <w:r>
        <w:rPr>
          <w:rFonts w:hint="default" w:ascii="Times New Roman" w:hAnsi="Times New Roman" w:eastAsia="仿宋" w:cs="Times New Roman"/>
          <w:bCs/>
          <w:lang w:eastAsia="zh-CN"/>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价值分析范围</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仲路芹</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rPr>
        <w:t>截至分析基准日借款已逾期，</w:t>
      </w:r>
      <w:r>
        <w:rPr>
          <w:rFonts w:hint="default" w:ascii="Times New Roman" w:hAnsi="Times New Roman" w:eastAsia="仿宋" w:cs="Times New Roman"/>
          <w:sz w:val="24"/>
          <w:szCs w:val="24"/>
        </w:rPr>
        <w:t>仲路芹</w:t>
      </w:r>
      <w:r>
        <w:rPr>
          <w:rFonts w:hint="default" w:ascii="Times New Roman" w:hAnsi="Times New Roman" w:eastAsia="仿宋" w:cs="Times New Roman"/>
          <w:sz w:val="24"/>
          <w:szCs w:val="24"/>
        </w:rPr>
        <w:t>户未按合同约定归还借款，截至基准日的借款本金余额</w:t>
      </w:r>
      <w:r>
        <w:rPr>
          <w:rFonts w:hint="default" w:ascii="Times New Roman" w:hAnsi="Times New Roman" w:eastAsia="仿宋" w:cs="Times New Roman"/>
          <w:sz w:val="24"/>
          <w:szCs w:val="24"/>
        </w:rPr>
        <w:t>55.43</w:t>
      </w:r>
      <w:r>
        <w:rPr>
          <w:rFonts w:hint="default" w:ascii="Times New Roman" w:hAnsi="Times New Roman" w:eastAsia="仿宋" w:cs="Times New Roman"/>
          <w:sz w:val="24"/>
          <w:szCs w:val="24"/>
        </w:rPr>
        <w:t>万元，欠息余额为</w:t>
      </w:r>
      <w:r>
        <w:rPr>
          <w:rFonts w:hint="default" w:ascii="Times New Roman" w:hAnsi="Times New Roman" w:eastAsia="仿宋" w:cs="Times New Roman"/>
          <w:sz w:val="24"/>
          <w:szCs w:val="24"/>
        </w:rPr>
        <w:t>0.48</w:t>
      </w:r>
      <w:r>
        <w:rPr>
          <w:rFonts w:hint="default" w:ascii="Times New Roman" w:hAnsi="Times New Roman" w:eastAsia="仿宋" w:cs="Times New Roman"/>
          <w:sz w:val="24"/>
          <w:szCs w:val="24"/>
        </w:rPr>
        <w:t>万元，本息合计</w:t>
      </w:r>
      <w:r>
        <w:rPr>
          <w:rFonts w:hint="default" w:ascii="Times New Roman" w:hAnsi="Times New Roman" w:eastAsia="仿宋" w:cs="Times New Roman"/>
          <w:sz w:val="24"/>
          <w:szCs w:val="24"/>
        </w:rPr>
        <w:t>55.91</w:t>
      </w:r>
      <w:r>
        <w:rPr>
          <w:rFonts w:hint="default" w:ascii="Times New Roman" w:hAnsi="Times New Roman" w:eastAsia="仿宋" w:cs="Times New Roman"/>
          <w:sz w:val="24"/>
          <w:szCs w:val="24"/>
        </w:rPr>
        <w:t>万元，抵押权利价值为</w:t>
      </w:r>
      <w:r>
        <w:rPr>
          <w:rFonts w:hint="default" w:ascii="Times New Roman" w:hAnsi="Times New Roman" w:eastAsia="仿宋" w:cs="Times New Roman"/>
          <w:sz w:val="24"/>
          <w:szCs w:val="24"/>
        </w:rPr>
        <w:t>60.00</w:t>
      </w:r>
      <w:r>
        <w:rPr>
          <w:rFonts w:hint="default" w:ascii="Times New Roman" w:hAnsi="Times New Roman" w:eastAsia="仿宋" w:cs="Times New Roman"/>
          <w:sz w:val="24"/>
          <w:szCs w:val="24"/>
        </w:rPr>
        <w:t>万元。</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根据贵行与债务人仲路芹户及相关当事方签订的贷款合同、借款凭据、抵押合同等资料，本次债权价值分析范围为：抵（质）押物价值、保全资产价值、债务人的偿债能力及其他偿债资金来源等四个方面。其中，抵押物情况如下：</w:t>
      </w:r>
      <w:r>
        <w:rPr>
          <w:rFonts w:hint="eastAsia" w:eastAsia="仿宋" w:cs="Times New Roman"/>
          <w:sz w:val="24"/>
          <w:szCs w:val="24"/>
          <w:lang w:val="en-US" w:eastAsia="zh-CN"/>
        </w:rPr>
      </w:r>
      <w:r>
        <w:rPr>
          <w:rFonts w:hint="eastAsia" w:eastAsia="仿宋" w:cs="Times New Roman"/>
          <w:sz w:val="24"/>
          <w:szCs w:val="24"/>
          <w:lang w:val="en-US" w:eastAsia="zh-CN"/>
        </w:rPr>
      </w:r>
      <w:r>
        <w:rPr>
          <w:rFonts w:hint="default" w:ascii="Times New Roman" w:hAnsi="Times New Roman" w:eastAsia="仿宋" w:cs="Times New Roman"/>
          <w:sz w:val="24"/>
          <w:szCs w:val="24"/>
          <w:lang w:val="en-US" w:eastAsia="zh-CN"/>
        </w:rPr>
      </w:r>
      <w:r>
        <w:rPr>
          <w:rFonts w:hint="eastAsia" w:eastAsia="仿宋" w:cs="Times New Roman"/>
          <w:sz w:val="24"/>
          <w:szCs w:val="24"/>
          <w:lang w:val="en-US" w:eastAsia="zh-CN"/>
        </w:rPr>
      </w:r>
      <w:r>
        <w:rPr>
          <w:rFonts w:hint="default" w:ascii="Times New Roman" w:hAnsi="Times New Roman" w:eastAsia="仿宋" w:cs="Times New Roman"/>
          <w:sz w:val="24"/>
          <w:szCs w:val="24"/>
          <w:lang w:val="en-US" w:eastAsia="zh-CN"/>
        </w:rPr>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2196"/>
        <w:gridCol w:w="1316"/>
        <w:gridCol w:w="1566"/>
        <w:gridCol w:w="836"/>
        <w:gridCol w:w="929"/>
        <w:gridCol w:w="15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房屋名称</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苏(2022)苏州市不动产权第6006764号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仲路芹、徐叶贤</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江苏省苏州市吴中区香山街道外塘路10号41幢1101室</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11层</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107.29</w:t>
            </w:r>
          </w:p>
        </w:tc>
      </w:tr>
    </w:tbl>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9" w:name="_Toc3814"/>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w:t>
      </w:r>
      <w:bookmarkStart w:id="30" w:name="_Hlt475689554"/>
      <w:r>
        <w:rPr>
          <w:rFonts w:hint="default" w:ascii="Times New Roman" w:hAnsi="Times New Roman" w:eastAsia="仿宋" w:cs="Times New Roman"/>
          <w:sz w:val="28"/>
          <w:szCs w:val="28"/>
        </w:rPr>
        <w:t>类</w:t>
      </w:r>
      <w:bookmarkEnd w:id="30"/>
      <w:r>
        <w:rPr>
          <w:rFonts w:hint="default" w:ascii="Times New Roman" w:hAnsi="Times New Roman" w:eastAsia="仿宋" w:cs="Times New Roman"/>
          <w:sz w:val="28"/>
          <w:szCs w:val="28"/>
        </w:rPr>
        <w:t>型</w:t>
      </w:r>
      <w:r>
        <w:rPr>
          <w:rFonts w:hint="default" w:ascii="Times New Roman" w:hAnsi="Times New Roman" w:eastAsia="仿宋" w:cs="Times New Roman"/>
          <w:sz w:val="28"/>
          <w:szCs w:val="28"/>
        </w:rPr>
        <w:fldChar w:fldCharType="end"/>
      </w:r>
      <w:bookmarkEnd w:id="29"/>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rPr>
      </w:pPr>
      <w:r>
        <w:rPr>
          <w:rFonts w:hint="default" w:ascii="Times New Roman" w:hAnsi="Times New Roman" w:eastAsia="仿宋" w:cs="Times New Roman"/>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lang w:eastAsia="zh-CN"/>
        </w:rPr>
      </w:pPr>
      <w:r>
        <w:rPr>
          <w:rFonts w:hint="default" w:ascii="Times New Roman" w:hAnsi="Times New Roman" w:eastAsia="仿宋" w:cs="Times New Roman"/>
        </w:rPr>
        <w:t>清算价值是指价值分析对象处于被迫出售、快速变现等非正常市场条件下的价值估计数额</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1" w:name="_Toc2353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32" w:name="_Hlt475689570"/>
      <w:r>
        <w:rPr>
          <w:rFonts w:hint="default" w:ascii="Times New Roman" w:hAnsi="Times New Roman" w:eastAsia="仿宋" w:cs="Times New Roman"/>
          <w:sz w:val="28"/>
          <w:szCs w:val="28"/>
        </w:rPr>
        <w:t>价值分析基</w:t>
      </w:r>
      <w:bookmarkEnd w:id="32"/>
      <w:r>
        <w:rPr>
          <w:rFonts w:hint="default" w:ascii="Times New Roman" w:hAnsi="Times New Roman" w:eastAsia="仿宋" w:cs="Times New Roman"/>
          <w:sz w:val="28"/>
          <w:szCs w:val="28"/>
        </w:rPr>
        <w:t>准日</w:t>
      </w:r>
      <w:r>
        <w:rPr>
          <w:rFonts w:hint="default" w:ascii="Times New Roman" w:hAnsi="Times New Roman" w:eastAsia="仿宋" w:cs="Times New Roman"/>
          <w:sz w:val="28"/>
          <w:szCs w:val="28"/>
        </w:rPr>
        <w:fldChar w:fldCharType="end"/>
      </w:r>
      <w:bookmarkEnd w:id="31"/>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本项目资产价值分析基准日是</w:t>
      </w:r>
      <w:r>
        <w:rPr>
          <w:rFonts w:hint="eastAsia" w:eastAsia="仿宋" w:cs="Times New Roman"/>
          <w:szCs w:val="24"/>
          <w:lang w:eastAsia="zh-CN"/>
        </w:rPr>
        <w:t>2025年12月31日</w:t>
      </w:r>
      <w:r>
        <w:rPr>
          <w:rFonts w:hint="default" w:ascii="Times New Roman" w:hAnsi="Times New Roman" w:eastAsia="仿宋" w:cs="Times New Roman"/>
          <w:szCs w:val="24"/>
        </w:rPr>
        <w:t>。</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价值分析基准日是根据价值分析目的，并尽可能地与相关经济行为的实现日接近原则由委托人确定，价值分析基准日与业务委托合同载明日期一致。</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价值分析工作取价标准为价值分析基准日有效的价格取费标准。</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3" w:name="_Toc30321"/>
      <w:r>
        <w:rPr>
          <w:rFonts w:hint="default" w:ascii="Times New Roman" w:hAnsi="Times New Roman" w:eastAsia="仿宋" w:cs="Times New Roman"/>
          <w:sz w:val="28"/>
          <w:szCs w:val="28"/>
        </w:rPr>
        <w:t>价值分析思路和方法</w:t>
      </w:r>
      <w:bookmarkEnd w:id="33"/>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价值分析思路</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对债权资产进行价值分析时可能存在多种适用的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分析方法，不同的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分析方法由于</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分析思路和相关假设条件、限制条件不同，得出的结论可能不同。因此债权资产价值分析应当综合考虑各种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分析途径与方法，选用一种或多种适用的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分析方法，并对各种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分析方法形成的价值分析结论进行对比分析，形成最终价值分析结论。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鉴于不良债权资产形成的复杂性、多样性以及</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分析过程中的一些不确定性因素，债权资产价值分析比其他资产的价值评估和价值分析复杂。因此债权资产价值分析是对债权资产在</w:t>
      </w:r>
      <w:r>
        <w:rPr>
          <w:rFonts w:hint="default" w:ascii="Times New Roman" w:hAnsi="Times New Roman" w:eastAsia="仿宋" w:cs="Times New Roman"/>
          <w:sz w:val="24"/>
          <w:szCs w:val="24"/>
          <w:lang w:eastAsia="zh-CN"/>
        </w:rPr>
        <w:t>分析</w:t>
      </w:r>
      <w:r>
        <w:rPr>
          <w:rFonts w:hint="default" w:ascii="Times New Roman" w:hAnsi="Times New Roman" w:eastAsia="仿宋" w:cs="Times New Roman"/>
          <w:sz w:val="24"/>
          <w:szCs w:val="24"/>
        </w:rPr>
        <w:t>基准日的价值或价值可实现程度进行分析、估算并形成专业意见的行为或过程，其分析方法主要基于两种途径：一种是以债务人和债务责任关联方为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分析范围的途径，主要包括假设清算法、现金流偿债法和其他适用方法；另一种是以债权本身为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分析范围的途径是指</w:t>
      </w:r>
      <w:r>
        <w:rPr>
          <w:rFonts w:hint="default" w:ascii="Times New Roman" w:hAnsi="Times New Roman" w:eastAsia="仿宋" w:cs="Times New Roman"/>
          <w:sz w:val="24"/>
          <w:szCs w:val="24"/>
          <w:lang w:val="en-US" w:eastAsia="zh-CN"/>
        </w:rPr>
        <w:t>评估人员</w:t>
      </w:r>
      <w:r>
        <w:rPr>
          <w:rFonts w:hint="default" w:ascii="Times New Roman" w:hAnsi="Times New Roman" w:eastAsia="仿宋" w:cs="Times New Roman"/>
          <w:sz w:val="24"/>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本次</w:t>
      </w:r>
      <w:r>
        <w:rPr>
          <w:rFonts w:hint="default" w:ascii="Times New Roman" w:hAnsi="Times New Roman" w:eastAsia="仿宋" w:cs="Times New Roman"/>
          <w:sz w:val="24"/>
          <w:szCs w:val="24"/>
          <w:lang w:eastAsia="zh-CN"/>
        </w:rPr>
        <w:t>价值分析</w:t>
      </w:r>
      <w:r>
        <w:rPr>
          <w:rFonts w:hint="default" w:ascii="Times New Roman" w:hAnsi="Times New Roman" w:eastAsia="仿宋" w:cs="Times New Roman"/>
          <w:sz w:val="24"/>
          <w:szCs w:val="24"/>
        </w:rPr>
        <w:t>由于得不到债务人、债务责任关联方配合，故</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分析人员选择采用以债权资产本身为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分析范围的途径进行分析。</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val="en-US" w:eastAsia="zh-CN"/>
        </w:rPr>
        <w:t>对于采用抵押方式的债权，分析人员对债务</w:t>
      </w:r>
      <w:r>
        <w:rPr>
          <w:rFonts w:hint="eastAsia" w:eastAsia="仿宋" w:cs="Times New Roman"/>
          <w:sz w:val="24"/>
          <w:szCs w:val="24"/>
          <w:lang w:val="en-US" w:eastAsia="zh-CN"/>
        </w:rPr>
        <w:t>人</w:t>
      </w:r>
      <w:r>
        <w:rPr>
          <w:rFonts w:hint="default" w:ascii="Times New Roman" w:hAnsi="Times New Roman" w:eastAsia="仿宋" w:cs="Times New Roman"/>
          <w:sz w:val="24"/>
          <w:szCs w:val="24"/>
          <w:lang w:val="en-US" w:eastAsia="zh-CN"/>
        </w:rPr>
        <w:t>抵押给中国工商银行股份有限公司苏州分行的抵押物进行价值估算，确定债权资产价值。</w:t>
      </w:r>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价值分析方法</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抵押物概况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本次债权涉及的抵押物具体情况如下表：</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2154"/>
        <w:gridCol w:w="1324"/>
        <w:gridCol w:w="1663"/>
        <w:gridCol w:w="787"/>
        <w:gridCol w:w="962"/>
        <w:gridCol w:w="1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4" w:hRule="atLeast"/>
        </w:trPr>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苏(2022)苏州市不动产权第6006764号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仲路芹、徐叶贤</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江苏省苏州市吴中区香山街道外塘路10号41幢1101室</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11层</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107.29</w:t>
            </w:r>
          </w:p>
        </w:tc>
      </w:tr>
    </w:tbl>
    <w:p>
      <w:pPr>
        <w:keepNext w:val="0"/>
        <w:keepLines w:val="0"/>
        <w:pageBreakBefore w:val="0"/>
        <w:widowControl w:val="0"/>
        <w:numPr>
          <w:ilvl w:val="0"/>
          <w:numId w:val="18"/>
        </w:numPr>
        <w:kinsoku/>
        <w:wordWrap/>
        <w:overflowPunct/>
        <w:topLinePunct w:val="0"/>
        <w:autoSpaceDE/>
        <w:autoSpaceDN/>
        <w:bidi w:val="0"/>
        <w:adjustRightInd/>
        <w:snapToGrid/>
        <w:spacing w:before="164" w:beforeLines="50" w:line="360" w:lineRule="auto"/>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抵押物价值估算方法</w:t>
      </w:r>
    </w:p>
    <w:p>
      <w:pPr>
        <w:autoSpaceDE w:val="0"/>
        <w:autoSpaceDN w:val="0"/>
        <w:adjustRightInd w:val="0"/>
        <w:ind w:firstLine="480" w:firstLineChars="200"/>
        <w:jc w:val="both"/>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抵押物可偿债金额为抵押物可回收金额、资产抵押债权金额、</w:t>
      </w:r>
      <w:r>
        <w:rPr>
          <w:rFonts w:hint="eastAsia" w:ascii="Times New Roman" w:hAnsi="Times New Roman" w:eastAsia="仿宋" w:cs="Times New Roman"/>
          <w:szCs w:val="24"/>
          <w:lang w:val="en-US" w:eastAsia="zh-CN"/>
        </w:rPr>
        <w:t>抵押</w:t>
      </w:r>
      <w:r>
        <w:rPr>
          <w:rFonts w:hint="default" w:ascii="Times New Roman" w:hAnsi="Times New Roman" w:eastAsia="仿宋" w:cs="Times New Roman"/>
          <w:szCs w:val="24"/>
          <w:lang w:val="en-US" w:eastAsia="zh-CN"/>
        </w:rPr>
        <w:t>权利价值三者中孰低者。</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抵押物可回收金额=抵押物正常交易条件下的市场价值×快速变现系数×折现系数</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抵押物处置费用</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安置费用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资产抵押债权金额为资产进行抵押所确定的金额，具体以相关登记信息为依据确定。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cs="Times New Roman"/>
          <w:lang w:val="en-US" w:eastAsia="zh-CN"/>
        </w:rPr>
      </w:pPr>
      <w:r>
        <w:rPr>
          <w:rFonts w:hint="eastAsia" w:eastAsia="仿宋" w:cs="Times New Roman"/>
          <w:szCs w:val="24"/>
          <w:lang w:val="en-US" w:eastAsia="zh-CN"/>
        </w:rPr>
        <w:t>抵押</w:t>
      </w:r>
      <w:r>
        <w:rPr>
          <w:rFonts w:hint="default" w:ascii="Times New Roman" w:hAnsi="Times New Roman" w:eastAsia="仿宋" w:cs="Times New Roman"/>
          <w:szCs w:val="24"/>
          <w:lang w:val="en-US" w:eastAsia="zh-CN"/>
        </w:rPr>
        <w:t>权利价值为被担保主债权数额，具体以相关登记信息为依据确定。</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抵押物正常交易条件下的市场价值</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right="0" w:righ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市场法是依据替代原则，通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3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最后求取待估房地产于价值分析基准日的比准价格。计算公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房地产估值＝可比实例成交价格×（正常交易情况指数/可比实例交易情况指数）×（基准日市场价格指数/可比实例交易日市场价格指数）×（待估对象区位因素条件指数/可比实例区位因素条件指数）×（待估对象实物因素条件指数/可比实例实物因素条件指数）×（待估对象权益状况指数/可比实例权益状况指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经估算，抵押物正常交易条件下的市场价值具体如下：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1"/>
        <w:gridCol w:w="1756"/>
        <w:gridCol w:w="2162"/>
        <w:gridCol w:w="1397"/>
        <w:gridCol w:w="1532"/>
        <w:gridCol w:w="15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房地产单价</w:t>
            </w:r>
          </w:p>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（元/㎡）</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市场价值</w:t>
            </w:r>
            <w:r>
              <w:rPr>
                <w:rFonts w:hint="default" w:ascii="Times New Roman" w:hAnsi="Times New Roman" w:eastAsia="仿宋" w:cs="Times New Roman"/>
                <w:sz w:val="21"/>
                <w:szCs w:val="21"/>
                <w:vertAlign w:val="baseline"/>
                <w:lang w:val="en-US" w:eastAsia="zh-CN"/>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仲路芹、徐叶贤</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江苏省苏州市吴中区香山街道外塘路10号41幢1101室</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107.29</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10,754.00</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1,153,797.00</w:t>
            </w:r>
          </w:p>
        </w:tc>
      </w:tr>
    </w:tbl>
    <w:p>
      <w:pPr>
        <w:keepNext w:val="0"/>
        <w:keepLines w:val="0"/>
        <w:pageBreakBefore w:val="0"/>
        <w:widowControl w:val="0"/>
        <w:numPr>
          <w:ilvl w:val="0"/>
          <w:numId w:val="19"/>
        </w:numPr>
        <w:kinsoku/>
        <w:wordWrap/>
        <w:overflowPunct/>
        <w:topLinePunct w:val="0"/>
        <w:autoSpaceDE/>
        <w:autoSpaceDN/>
        <w:bidi w:val="0"/>
        <w:adjustRightInd/>
        <w:snapToGrid/>
        <w:spacing w:before="164" w:beforeLines="5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抵押物可变现净值的确定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快速变现系数=价值大小调整系数×区位调整系数×通用性调整系数×独立使用性调整系数×市场状况调整系数×处置方式调整系数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经计算，快速变现系数为</w:t>
      </w:r>
      <w:r>
        <w:rPr>
          <w:rFonts w:hint="default" w:ascii="Times New Roman" w:hAnsi="Times New Roman" w:eastAsia="仿宋" w:cs="Times New Roman"/>
          <w:sz w:val="24"/>
          <w:szCs w:val="24"/>
          <w:lang w:val="en-US" w:eastAsia="zh-CN"/>
        </w:rPr>
        <w:t>0.70</w:t>
      </w:r>
      <w:r>
        <w:rPr>
          <w:rFonts w:hint="default" w:ascii="Times New Roman" w:hAnsi="Times New Roman" w:eastAsia="仿宋" w:cs="Times New Roman"/>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=抵押物正常交易条件下的市场价值×快速变现系数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1,153,797.00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0.70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807,658.00</w:t>
      </w:r>
      <w:r>
        <w:rPr>
          <w:rFonts w:hint="default" w:ascii="Times New Roman" w:hAnsi="Times New Roman" w:eastAsia="仿宋" w:cs="Times New Roman"/>
          <w:sz w:val="24"/>
          <w:szCs w:val="24"/>
          <w:lang w:val="en-US" w:eastAsia="zh-CN"/>
        </w:rPr>
        <w:t>元（取整）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sz w:val="24"/>
          <w:szCs w:val="24"/>
          <w:lang w:val="en-US" w:eastAsia="zh-CN"/>
        </w:rPr>
        <w:t>根据委托人提供的抵押物处置计划，预计抵押物清收将于</w:t>
      </w:r>
      <w:r>
        <w:rPr>
          <w:rFonts w:hint="default" w:ascii="Times New Roman" w:hAnsi="Times New Roman" w:eastAsia="仿宋" w:cs="Times New Roman"/>
          <w:sz w:val="24"/>
          <w:szCs w:val="24"/>
          <w:lang w:val="en-US" w:eastAsia="zh-CN"/>
        </w:rPr>
        <w:t>第三年下半年</w:t>
      </w:r>
      <w:r>
        <w:rPr>
          <w:rFonts w:hint="default" w:ascii="Times New Roman" w:hAnsi="Times New Roman" w:eastAsia="仿宋" w:cs="Times New Roman"/>
          <w:sz w:val="24"/>
          <w:szCs w:val="24"/>
          <w:lang w:val="en-US" w:eastAsia="zh-CN"/>
        </w:rPr>
        <w:t>完成，因此折现系数确定方法如下：本次采用全国银行间同业拆借中心公布的1年期贷款市场报价利率（LPR）作为折现率。截至价值分析基准日，1年期LPR为</w:t>
      </w:r>
      <w:r>
        <w:rPr>
          <w:rFonts w:hint="default" w:ascii="Times New Roman" w:hAnsi="Times New Roman" w:eastAsia="仿宋" w:cs="Times New Roman"/>
          <w:sz w:val="24"/>
          <w:szCs w:val="24"/>
          <w:lang w:val="en-US" w:eastAsia="zh-CN"/>
        </w:rPr>
        <w:t>3.00%</w:t>
      </w:r>
      <w:r>
        <w:rPr>
          <w:rFonts w:hint="default" w:ascii="Times New Roman" w:hAnsi="Times New Roman" w:eastAsia="仿宋" w:cs="Times New Roman"/>
          <w:sz w:val="24"/>
          <w:szCs w:val="24"/>
          <w:lang w:val="en-US" w:eastAsia="zh-CN"/>
        </w:rPr>
        <w:t>。根据抵押物处置计划确定折现年限为</w:t>
      </w:r>
      <w:r>
        <w:rPr>
          <w:rFonts w:hint="default" w:ascii="Times New Roman" w:hAnsi="Times New Roman" w:eastAsia="仿宋" w:cs="Times New Roman"/>
          <w:sz w:val="24"/>
          <w:szCs w:val="24"/>
          <w:lang w:val="en-US" w:eastAsia="zh-CN"/>
        </w:rPr>
        <w:t>2.25</w:t>
      </w:r>
      <w:r>
        <w:rPr>
          <w:rFonts w:hint="default" w:ascii="Times New Roman" w:hAnsi="Times New Roman" w:eastAsia="仿宋" w:cs="Times New Roman"/>
          <w:sz w:val="24"/>
          <w:szCs w:val="24"/>
          <w:lang w:val="en-US" w:eastAsia="zh-CN"/>
        </w:rPr>
        <w:t>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折现系数=1/（1+</w:t>
      </w:r>
      <w:r>
        <w:rPr>
          <w:rFonts w:hint="default" w:ascii="Times New Roman" w:hAnsi="Times New Roman" w:eastAsia="仿宋" w:cs="Times New Roman"/>
          <w:kern w:val="2"/>
          <w:sz w:val="24"/>
          <w:szCs w:val="24"/>
          <w:lang w:val="en-US" w:eastAsia="zh-CN" w:bidi="ar-SA"/>
        </w:rPr>
        <w:t>3.00%</w:t>
      </w:r>
      <w:r>
        <w:rPr>
          <w:rFonts w:hint="default" w:ascii="Times New Roman" w:hAnsi="Times New Roman" w:eastAsia="仿宋" w:cs="Times New Roman"/>
          <w:kern w:val="2"/>
          <w:sz w:val="24"/>
          <w:szCs w:val="24"/>
          <w:lang w:val="en-US" w:eastAsia="zh-CN" w:bidi="ar-SA"/>
        </w:rPr>
        <w:t>）^</w:t>
      </w:r>
      <w:r>
        <w:rPr>
          <w:rFonts w:hint="default" w:ascii="Times New Roman" w:hAnsi="Times New Roman" w:eastAsia="仿宋" w:cs="Times New Roman"/>
          <w:kern w:val="2"/>
          <w:sz w:val="24"/>
          <w:szCs w:val="24"/>
          <w:lang w:val="en-US" w:eastAsia="zh-CN" w:bidi="ar-SA"/>
        </w:rPr>
        <w:t>2.25</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 xml:space="preserve">        =</w:t>
      </w:r>
      <w:r>
        <w:rPr>
          <w:rFonts w:hint="default" w:ascii="Times New Roman" w:hAnsi="Times New Roman" w:eastAsia="仿宋" w:cs="Times New Roman"/>
          <w:kern w:val="2"/>
          <w:sz w:val="24"/>
          <w:szCs w:val="24"/>
          <w:lang w:val="en-US" w:eastAsia="zh-CN" w:bidi="ar-SA"/>
        </w:rPr>
        <w:t>0.9357</w:t>
      </w:r>
      <w:r>
        <w:rPr>
          <w:rFonts w:hint="default" w:ascii="Times New Roman" w:hAnsi="Times New Roman" w:eastAsia="仿宋" w:cs="Times New Roman"/>
          <w:kern w:val="2"/>
          <w:sz w:val="24"/>
          <w:szCs w:val="24"/>
          <w:lang w:val="en-US" w:eastAsia="zh-CN" w:bidi="ar-SA"/>
        </w:rPr>
        <w:t>（保留四位小数）</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kern w:val="2"/>
          <w:sz w:val="24"/>
          <w:szCs w:val="24"/>
          <w:lang w:val="en-US" w:eastAsia="zh-CN" w:bidi="ar-SA"/>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807,658.00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0.9357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755,726.00</w:t>
      </w:r>
      <w:r>
        <w:rPr>
          <w:rFonts w:hint="default" w:ascii="Times New Roman" w:hAnsi="Times New Roman" w:eastAsia="仿宋" w:cs="Times New Roman"/>
          <w:sz w:val="24"/>
          <w:szCs w:val="24"/>
          <w:lang w:val="en-US" w:eastAsia="zh-CN"/>
        </w:rPr>
        <w:t>元（取整）</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抵押物处置费用</w:t>
      </w:r>
      <w:r>
        <w:rPr>
          <w:rFonts w:hint="default" w:ascii="Times New Roman" w:hAnsi="Times New Roman" w:eastAsia="仿宋" w:cs="Times New Roman"/>
          <w:sz w:val="24"/>
          <w:szCs w:val="24"/>
          <w:lang w:val="en-US" w:eastAsia="zh-CN"/>
        </w:rPr>
        <w:t>及安置费用</w:t>
      </w:r>
      <w:r>
        <w:rPr>
          <w:rFonts w:hint="default" w:ascii="Times New Roman" w:hAnsi="Times New Roman" w:eastAsia="仿宋" w:cs="Times New Roman"/>
          <w:sz w:val="24"/>
          <w:szCs w:val="24"/>
          <w:lang w:val="en-US" w:eastAsia="zh-CN"/>
        </w:rPr>
        <w:t>的确定</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kern w:val="2"/>
          <w:sz w:val="24"/>
          <w:szCs w:val="24"/>
          <w:lang w:val="en-US" w:eastAsia="zh-CN" w:bidi="ar-SA"/>
        </w:rPr>
        <w:t>依据《人民法院诉讼收费办法》及民间借贷纠纷律师费收费标准，确定抵押物处置费用为</w:t>
      </w:r>
      <w:r>
        <w:rPr>
          <w:rFonts w:hint="default" w:ascii="Times New Roman" w:hAnsi="Times New Roman" w:eastAsia="仿宋" w:cs="Times New Roman"/>
          <w:kern w:val="2"/>
          <w:sz w:val="24"/>
          <w:szCs w:val="24"/>
          <w:lang w:val="en-US" w:eastAsia="zh-CN" w:bidi="ar-SA"/>
        </w:rPr>
        <w:t>27,428.00</w:t>
      </w:r>
      <w:r>
        <w:rPr>
          <w:rFonts w:hint="default" w:ascii="Times New Roman" w:hAnsi="Times New Roman" w:eastAsia="仿宋" w:cs="Times New Roman"/>
          <w:kern w:val="2"/>
          <w:sz w:val="24"/>
          <w:szCs w:val="24"/>
          <w:lang w:val="en-US" w:eastAsia="zh-CN" w:bidi="ar-SA"/>
        </w:rPr>
        <w:t>元。</w:t>
      </w:r>
      <w:r>
        <w:rPr>
          <w:rFonts w:hint="default" w:ascii="Times New Roman" w:hAnsi="Times New Roman" w:eastAsia="仿宋" w:cs="Times New Roman"/>
          <w:kern w:val="2"/>
          <w:sz w:val="24"/>
          <w:szCs w:val="24"/>
          <w:lang w:val="en-US" w:eastAsia="zh-CN" w:bidi="ar-SA"/>
        </w:rPr>
        <w:t>同时，由于抵押物为债务人的唯一住房，需考虑安置费用，根据委托人提供的资料，本次考虑安置费用为120,000.00元。</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r>
        <w:rPr>
          <w:rFonts w:hint="default" w:ascii="Times New Roman" w:hAnsi="Times New Roman" w:eastAsia="仿宋" w:cs="Times New Roman"/>
          <w:sz w:val="24"/>
          <w:szCs w:val="24"/>
          <w:lang w:val="en-US" w:eastAsia="zh-CN"/>
        </w:rPr>
        <w:t>抵押物折现价值-处置费用-安置费用</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755,726.00-27,428.00-120,000.00</w:t>
      </w:r>
    </w:p>
    <w:p>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608,298.00</w:t>
      </w:r>
      <w:r>
        <w:rPr>
          <w:rFonts w:hint="default" w:ascii="Times New Roman" w:hAnsi="Times New Roman" w:eastAsia="仿宋" w:cs="Times New Roman"/>
          <w:sz w:val="24"/>
          <w:szCs w:val="24"/>
          <w:lang w:val="en-US" w:eastAsia="zh-CN"/>
        </w:rPr>
        <w:t>元</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分析结论</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left="0" w:leftChars="0" w:right="0" w:rightChars="0" w:firstLine="480" w:firstLineChars="200"/>
        <w:textAlignment w:val="auto"/>
        <w:rPr>
          <w:rFonts w:hint="default" w:ascii="Times New Roman" w:hAnsi="Times New Roman" w:eastAsia="仿宋" w:cs="Times New Roman"/>
          <w:color w:val="auto"/>
          <w:kern w:val="0"/>
          <w:szCs w:val="24"/>
        </w:rPr>
      </w:pPr>
      <w:r>
        <w:rPr>
          <w:rFonts w:hint="default" w:ascii="Times New Roman" w:hAnsi="Times New Roman" w:eastAsia="仿宋" w:cs="Times New Roman"/>
          <w:lang w:val="en-US" w:eastAsia="zh-CN"/>
        </w:rPr>
        <w:t>由于抵押物可偿债金额为抵押物可回收金额、资产抵押债权金额、抵押权利价值三者中孰低者，抵押物可回收金额为608,298.00元，资产抵押债权金额为559,136.76元，抵押权利价值为600,000.00元，资产抵押债权金额为三者最低值，所以仲路芹户债权资产分析价值为资产抵押债权金额，即559,136.76元。</w:t>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p>
    <w:bookmarkEnd w:id="21"/>
    <w:bookmarkEnd w:id="22"/>
    <w:bookmarkEnd w:id="23"/>
    <w:bookmarkEnd w:id="24"/>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4" w:name="_Toc14196"/>
      <w:bookmarkStart w:id="35" w:name="_Toc477429873"/>
      <w:bookmarkStart w:id="36" w:name="_Toc445967582"/>
      <w:bookmarkStart w:id="37" w:name="_Toc445967717"/>
      <w:bookmarkStart w:id="38" w:name="_Toc469811363"/>
      <w:bookmarkStart w:id="39" w:name="OLE_LINK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0" w:name="_Hlt475689621"/>
      <w:r>
        <w:rPr>
          <w:rFonts w:hint="default" w:ascii="Times New Roman" w:hAnsi="Times New Roman" w:eastAsia="仿宋" w:cs="Times New Roman"/>
          <w:sz w:val="28"/>
          <w:szCs w:val="28"/>
        </w:rPr>
        <w:t>价值分析程序实</w:t>
      </w:r>
      <w:bookmarkEnd w:id="40"/>
      <w:r>
        <w:rPr>
          <w:rFonts w:hint="default" w:ascii="Times New Roman" w:hAnsi="Times New Roman" w:eastAsia="仿宋" w:cs="Times New Roman"/>
          <w:sz w:val="28"/>
          <w:szCs w:val="28"/>
        </w:rPr>
        <w:t>施过程和情况</w:t>
      </w:r>
      <w:r>
        <w:rPr>
          <w:rFonts w:hint="default" w:ascii="Times New Roman" w:hAnsi="Times New Roman" w:eastAsia="仿宋" w:cs="Times New Roman"/>
          <w:sz w:val="28"/>
          <w:szCs w:val="28"/>
        </w:rPr>
        <w:fldChar w:fldCharType="end"/>
      </w:r>
      <w:bookmarkEnd w:id="34"/>
    </w:p>
    <w:p>
      <w:pPr>
        <w:ind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本次债权价值分析工作包括价值分析前期工作、价值分析测算工作、汇总价值分析结论，撰写价值分析报告等，主要价值分析工作过程如下：</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接受委托阶段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经综合分析专业胜任能力和独立性及价值分析业务风险，确定接受委托，签订委托合同。</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根据规范要求，布置债权价值分析申报表和资料清单。</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了解可能会影响价值分析业务和价值分析结论的限制条件，按照本次债权资产的特点以及时间上的总体要求，拟定工作计划和方案，组织工作团队。</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现场调查及收集整理评估资料阶段</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指导企业相关人员进行填表与准备相关资料</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指导企业相关的财务与资产员在清查的基础上，按照评估机构提供的</w:t>
      </w:r>
      <w:r>
        <w:rPr>
          <w:rFonts w:hint="default" w:ascii="Times New Roman" w:hAnsi="Times New Roman" w:eastAsia="仿宋" w:cs="Times New Roman"/>
          <w:sz w:val="24"/>
          <w:szCs w:val="24"/>
          <w:lang w:eastAsia="zh-CN"/>
        </w:rPr>
        <w:t>“申报明细表”</w:t>
      </w:r>
      <w:r>
        <w:rPr>
          <w:rFonts w:hint="default" w:ascii="Times New Roman" w:hAnsi="Times New Roman" w:eastAsia="仿宋" w:cs="Times New Roman"/>
          <w:sz w:val="24"/>
          <w:szCs w:val="24"/>
        </w:rPr>
        <w:t>、</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资料清单</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及其填写要求，进行登记填报，同时收集</w:t>
      </w:r>
      <w:r>
        <w:rPr>
          <w:rFonts w:hint="default" w:ascii="Times New Roman" w:hAnsi="Times New Roman" w:eastAsia="仿宋" w:cs="Times New Roman"/>
          <w:sz w:val="24"/>
          <w:szCs w:val="24"/>
          <w:lang w:eastAsia="zh-CN"/>
        </w:rPr>
        <w:t>价值分析对象</w:t>
      </w:r>
      <w:r>
        <w:rPr>
          <w:rFonts w:hint="default" w:ascii="Times New Roman" w:hAnsi="Times New Roman" w:eastAsia="仿宋" w:cs="Times New Roman"/>
          <w:sz w:val="24"/>
          <w:szCs w:val="24"/>
        </w:rPr>
        <w:t>及其所涉及资产的产权归属证明文件</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val="en-US" w:eastAsia="zh-CN"/>
        </w:rPr>
        <w:t>债权相关方财务信息</w:t>
      </w:r>
      <w:r>
        <w:rPr>
          <w:rFonts w:hint="default" w:ascii="Times New Roman" w:hAnsi="Times New Roman" w:eastAsia="仿宋" w:cs="Times New Roman"/>
          <w:sz w:val="24"/>
          <w:szCs w:val="24"/>
        </w:rPr>
        <w:t>等的文件资料。</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初步审查企业提供的</w:t>
      </w:r>
      <w:r>
        <w:rPr>
          <w:rFonts w:hint="default" w:ascii="Times New Roman" w:hAnsi="Times New Roman" w:eastAsia="仿宋" w:cs="Times New Roman"/>
          <w:szCs w:val="24"/>
          <w:lang w:eastAsia="zh-CN"/>
        </w:rPr>
        <w:t>申报</w:t>
      </w:r>
      <w:r>
        <w:rPr>
          <w:rFonts w:hint="default" w:ascii="Times New Roman" w:hAnsi="Times New Roman" w:eastAsia="仿宋" w:cs="Times New Roman"/>
          <w:szCs w:val="24"/>
        </w:rPr>
        <w:t>明细表</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通过查阅有关资料，了解涉及</w:t>
      </w:r>
      <w:r>
        <w:rPr>
          <w:rFonts w:hint="default" w:ascii="Times New Roman" w:hAnsi="Times New Roman" w:eastAsia="仿宋" w:cs="Times New Roman"/>
          <w:sz w:val="24"/>
          <w:szCs w:val="24"/>
          <w:lang w:eastAsia="zh-CN"/>
        </w:rPr>
        <w:t>价值分析范围</w:t>
      </w:r>
      <w:r>
        <w:rPr>
          <w:rFonts w:hint="default" w:ascii="Times New Roman" w:hAnsi="Times New Roman" w:eastAsia="仿宋" w:cs="Times New Roman"/>
          <w:sz w:val="24"/>
          <w:szCs w:val="24"/>
        </w:rPr>
        <w:t>内具体对象的详细状况。然后，审查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明细表，检查有无填列不全、资产项目不明确现象，并根据经验及掌握的有关资料，检查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明细表有无漏项等。</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现场调查阶段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eastAsia="zh-CN"/>
        </w:rPr>
        <w:t>因</w:t>
      </w:r>
      <w:r>
        <w:rPr>
          <w:rFonts w:hint="default" w:ascii="Times New Roman" w:hAnsi="Times New Roman" w:eastAsia="仿宋" w:cs="Times New Roman"/>
          <w:sz w:val="24"/>
          <w:szCs w:val="24"/>
          <w:lang w:val="en-US" w:eastAsia="zh-CN"/>
        </w:rPr>
        <w:t>债务人</w:t>
      </w:r>
      <w:r>
        <w:rPr>
          <w:rFonts w:hint="default" w:ascii="Times New Roman" w:hAnsi="Times New Roman" w:eastAsia="仿宋" w:cs="Times New Roman"/>
          <w:sz w:val="24"/>
          <w:szCs w:val="24"/>
          <w:lang w:eastAsia="zh-CN"/>
        </w:rPr>
        <w:t>无相关人员配合，本项目无法对抵押资产进行现场勘查工作</w:t>
      </w:r>
      <w:r>
        <w:rPr>
          <w:rFonts w:hint="default" w:ascii="Times New Roman" w:hAnsi="Times New Roman" w:eastAsia="仿宋" w:cs="Times New Roman"/>
          <w:sz w:val="24"/>
          <w:szCs w:val="24"/>
        </w:rPr>
        <w:t>。</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收集整理价值分析资料</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 w:val="24"/>
          <w:szCs w:val="24"/>
        </w:rPr>
        <w:t>根据业务具体情况收集</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资料。收集的</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资料包括从委托人获取的内部资料；从政府部门、各类专业机构以及市场等其他渠道获取的外部资料。同时对收集的资料进行必要分析、归纳和整理，形成</w:t>
      </w:r>
      <w:r>
        <w:rPr>
          <w:rFonts w:hint="default" w:ascii="Times New Roman" w:hAnsi="Times New Roman" w:eastAsia="仿宋" w:cs="Times New Roman"/>
          <w:sz w:val="24"/>
          <w:szCs w:val="24"/>
          <w:lang w:val="en-US" w:eastAsia="zh-CN"/>
        </w:rPr>
        <w:t>分析</w:t>
      </w:r>
      <w:r>
        <w:rPr>
          <w:rFonts w:hint="default" w:ascii="Times New Roman" w:hAnsi="Times New Roman" w:eastAsia="仿宋" w:cs="Times New Roman"/>
          <w:sz w:val="24"/>
          <w:szCs w:val="24"/>
        </w:rPr>
        <w:t>估算和编制</w:t>
      </w:r>
      <w:r>
        <w:rPr>
          <w:rFonts w:hint="default" w:ascii="Times New Roman" w:hAnsi="Times New Roman" w:eastAsia="仿宋" w:cs="Times New Roman"/>
          <w:sz w:val="24"/>
          <w:szCs w:val="24"/>
          <w:lang w:eastAsia="zh-CN"/>
        </w:rPr>
        <w:t>价值分析报告</w:t>
      </w:r>
      <w:r>
        <w:rPr>
          <w:rFonts w:hint="default" w:ascii="Times New Roman" w:hAnsi="Times New Roman" w:eastAsia="仿宋" w:cs="Times New Roman"/>
          <w:sz w:val="24"/>
          <w:szCs w:val="24"/>
        </w:rPr>
        <w:t>的依据。</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价值分析测算阶段</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在明确业务基本事项的基础上，收集与资产相关的各种价格信息资料。</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根据价值分析目的及所收集的资料的情况，结合资产清查核实的结果，确定适当的价值分析方法进行分析。</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根据所采用的价值分析方法，估算所分析债权资产的价值。</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汇总、提交</w:t>
      </w:r>
      <w:r>
        <w:rPr>
          <w:rFonts w:hint="default" w:ascii="Times New Roman" w:hAnsi="Times New Roman" w:eastAsia="仿宋" w:cs="Times New Roman"/>
          <w:b/>
          <w:szCs w:val="24"/>
          <w:lang w:val="en-US" w:eastAsia="zh-CN"/>
        </w:rPr>
        <w:t>价值分析</w:t>
      </w:r>
      <w:r>
        <w:rPr>
          <w:rFonts w:hint="default" w:ascii="Times New Roman" w:hAnsi="Times New Roman" w:eastAsia="仿宋" w:cs="Times New Roman"/>
          <w:b/>
          <w:szCs w:val="24"/>
        </w:rPr>
        <w:t>报告阶段</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进行</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分析，对形成的初步</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进行综合分析、比较、判断、调整、修改和完善，形成</w:t>
      </w:r>
      <w:r>
        <w:rPr>
          <w:rFonts w:hint="default" w:ascii="Times New Roman" w:hAnsi="Times New Roman" w:eastAsia="仿宋" w:cs="Times New Roman"/>
          <w:szCs w:val="24"/>
          <w:lang w:eastAsia="zh-CN"/>
        </w:rPr>
        <w:t>价值分析结论</w:t>
      </w:r>
      <w:r>
        <w:rPr>
          <w:rFonts w:hint="default" w:ascii="Times New Roman" w:hAnsi="Times New Roman" w:eastAsia="仿宋" w:cs="Times New Roman"/>
          <w:szCs w:val="24"/>
        </w:rPr>
        <w:t>，编制初步</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经内部逐级复核，与委托人就</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有关内容进行必要沟通。</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最终由资产评估机构出具</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并按委托合同的要求提交</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按要求对工作底稿进行整理，与</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和其他材料一起形成</w:t>
      </w:r>
      <w:r>
        <w:rPr>
          <w:rFonts w:hint="default" w:ascii="Times New Roman" w:hAnsi="Times New Roman" w:eastAsia="仿宋" w:cs="Times New Roman"/>
          <w:szCs w:val="24"/>
          <w:lang w:eastAsia="zh-CN"/>
        </w:rPr>
        <w:t>价值分析</w:t>
      </w:r>
      <w:r>
        <w:rPr>
          <w:rFonts w:hint="default" w:ascii="Times New Roman" w:hAnsi="Times New Roman" w:eastAsia="仿宋" w:cs="Times New Roman"/>
          <w:szCs w:val="24"/>
        </w:rPr>
        <w:t>档案。</w:t>
      </w:r>
    </w:p>
    <w:bookmarkEnd w:id="35"/>
    <w:bookmarkEnd w:id="36"/>
    <w:bookmarkEnd w:id="37"/>
    <w:bookmarkEnd w:id="38"/>
    <w:bookmarkEnd w:id="39"/>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41" w:name="_Toc165180891"/>
      <w:bookmarkStart w:id="42" w:name="_Toc17062"/>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3" w:name="_Hlt475689978"/>
      <w:r>
        <w:rPr>
          <w:rFonts w:hint="default" w:ascii="Times New Roman" w:hAnsi="Times New Roman" w:eastAsia="仿宋" w:cs="Times New Roman"/>
          <w:sz w:val="28"/>
          <w:szCs w:val="28"/>
        </w:rPr>
        <w:t>价值分析假</w:t>
      </w:r>
      <w:bookmarkEnd w:id="43"/>
      <w:bookmarkStart w:id="44" w:name="_Hlt475689636"/>
      <w:r>
        <w:rPr>
          <w:rFonts w:hint="default" w:ascii="Times New Roman" w:hAnsi="Times New Roman" w:eastAsia="仿宋" w:cs="Times New Roman"/>
          <w:sz w:val="28"/>
          <w:szCs w:val="28"/>
        </w:rPr>
        <w:t>设</w:t>
      </w:r>
      <w:bookmarkEnd w:id="41"/>
      <w:bookmarkEnd w:id="44"/>
      <w:r>
        <w:rPr>
          <w:rFonts w:hint="default" w:ascii="Times New Roman" w:hAnsi="Times New Roman" w:eastAsia="仿宋" w:cs="Times New Roman"/>
          <w:sz w:val="28"/>
          <w:szCs w:val="28"/>
        </w:rPr>
        <w:fldChar w:fldCharType="end"/>
      </w:r>
      <w:bookmarkEnd w:id="42"/>
    </w:p>
    <w:p>
      <w:pPr>
        <w:pStyle w:val="54"/>
        <w:ind w:firstLine="480" w:firstLineChars="200"/>
        <w:rPr>
          <w:rFonts w:hint="default" w:ascii="Times New Roman" w:hAnsi="Times New Roman" w:eastAsia="仿宋" w:cs="Times New Roman"/>
          <w:sz w:val="24"/>
          <w:szCs w:val="22"/>
        </w:rPr>
      </w:pPr>
      <w:r>
        <w:rPr>
          <w:rFonts w:hint="default" w:ascii="Times New Roman" w:hAnsi="Times New Roman" w:eastAsia="仿宋" w:cs="Times New Roman"/>
          <w:sz w:val="24"/>
          <w:szCs w:val="22"/>
        </w:rPr>
        <w:t>本价值分析报告及价值分析结论的成立，依赖于以下价值分析假设：</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bookmarkStart w:id="45" w:name="_Toc477429874"/>
      <w:bookmarkStart w:id="46" w:name="_Toc469811364"/>
      <w:bookmarkStart w:id="47" w:name="_Toc445967718"/>
      <w:bookmarkStart w:id="48" w:name="_Toc445967583"/>
      <w:r>
        <w:rPr>
          <w:rFonts w:hint="default" w:ascii="Times New Roman" w:hAnsi="Times New Roman" w:eastAsia="仿宋" w:cs="Times New Roman"/>
          <w:szCs w:val="24"/>
        </w:rPr>
        <w:t>交易假设：</w:t>
      </w:r>
      <w:r>
        <w:rPr>
          <w:rFonts w:hint="default" w:ascii="Times New Roman" w:hAnsi="Times New Roman" w:eastAsia="仿宋" w:cs="Times New Roman"/>
          <w:sz w:val="24"/>
          <w:szCs w:val="24"/>
        </w:rPr>
        <w:t>假定所有待价值分析资产已经处在交易过程中，根据待价值分析资产的交易条件等模拟市场进行价值分析</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公开市场假设：</w:t>
      </w:r>
      <w:r>
        <w:rPr>
          <w:rFonts w:hint="default" w:ascii="Times New Roman" w:hAnsi="Times New Roman" w:eastAsia="仿宋" w:cs="Times New Roman"/>
          <w:sz w:val="24"/>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国家现行的有关法律、法规及政策，国家宏观经济形势无重大变化；本次交易各方所处地区的政治、经济和社会环境无重大变化。</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本价值分析项目委托人提供的与本项目相关的权属证明、财务会计信息和其他资料真实、完整、合法。</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无其他不可预测和不可抗力因素造成的重大不利影响。</w:t>
      </w:r>
    </w:p>
    <w:p>
      <w:pPr>
        <w:keepNext w:val="0"/>
        <w:keepLines w:val="0"/>
        <w:pageBreakBefore w:val="0"/>
        <w:widowControl w:val="0"/>
        <w:numPr>
          <w:ilvl w:val="0"/>
          <w:numId w:val="0"/>
        </w:numPr>
        <w:kinsoku/>
        <w:wordWrap/>
        <w:overflowPunct/>
        <w:topLinePunct w:val="0"/>
        <w:autoSpaceDE/>
        <w:autoSpaceDN/>
        <w:bidi w:val="0"/>
        <w:adjustRightInd/>
        <w:snapToGrid/>
        <w:ind w:leftChars="0" w:firstLine="482" w:firstLineChars="200"/>
        <w:textAlignment w:val="auto"/>
        <w:rPr>
          <w:rFonts w:hint="default" w:ascii="Times New Roman" w:hAnsi="Times New Roman" w:eastAsia="仿宋" w:cs="Times New Roman"/>
          <w:b/>
          <w:bCs/>
          <w:szCs w:val="22"/>
        </w:rPr>
      </w:pPr>
      <w:r>
        <w:rPr>
          <w:rFonts w:hint="default" w:ascii="Times New Roman" w:hAnsi="Times New Roman" w:eastAsia="仿宋" w:cs="Times New Roman"/>
          <w:b/>
          <w:bCs/>
          <w:szCs w:val="22"/>
        </w:rPr>
        <w:t>本评估结论是以上述评估假设为前提得出的，在上述评估假设变化时，本评估结论无效。</w:t>
      </w:r>
    </w:p>
    <w:bookmarkEnd w:id="45"/>
    <w:bookmarkEnd w:id="46"/>
    <w:bookmarkEnd w:id="47"/>
    <w:bookmarkEnd w:id="48"/>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420" w:hanging="420"/>
        <w:textAlignment w:val="baseline"/>
        <w:rPr>
          <w:rFonts w:hint="default" w:ascii="Times New Roman" w:hAnsi="Times New Roman" w:eastAsia="仿宋" w:cs="Times New Roman"/>
          <w:sz w:val="28"/>
        </w:rPr>
      </w:pPr>
      <w:bookmarkStart w:id="49" w:name="_Toc445967586"/>
      <w:bookmarkStart w:id="50" w:name="_Toc477429877"/>
      <w:bookmarkStart w:id="51" w:name="_Toc469811367"/>
      <w:bookmarkStart w:id="52" w:name="_Toc445967721"/>
      <w:bookmarkStart w:id="53" w:name="_Toc165180895"/>
      <w:bookmarkStart w:id="54" w:name="_Toc30541"/>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End w:id="49"/>
      <w:bookmarkEnd w:id="50"/>
      <w:bookmarkEnd w:id="51"/>
      <w:bookmarkEnd w:id="52"/>
      <w:bookmarkEnd w:id="53"/>
      <w:bookmarkStart w:id="55" w:name="_Toc469811368"/>
      <w:bookmarkStart w:id="56" w:name="_Toc477429878"/>
      <w:bookmarkStart w:id="57" w:name="_Toc445967722"/>
      <w:bookmarkStart w:id="58" w:name="_Toc445967587"/>
      <w:bookmarkStart w:id="59" w:name="_Toc165180896"/>
      <w:r>
        <w:rPr>
          <w:rFonts w:hint="default" w:ascii="Times New Roman" w:hAnsi="Times New Roman" w:eastAsia="仿宋" w:cs="Times New Roman"/>
          <w:sz w:val="28"/>
          <w:szCs w:val="28"/>
        </w:rPr>
        <w:t>价值分析结</w:t>
      </w:r>
      <w:r>
        <w:rPr>
          <w:rFonts w:hint="default" w:ascii="Times New Roman" w:hAnsi="Times New Roman" w:eastAsia="仿宋" w:cs="Times New Roman"/>
          <w:sz w:val="28"/>
          <w:szCs w:val="28"/>
        </w:rPr>
        <w:fldChar w:fldCharType="end"/>
      </w:r>
      <w:r>
        <w:rPr>
          <w:rFonts w:hint="default" w:ascii="Times New Roman" w:hAnsi="Times New Roman" w:eastAsia="仿宋" w:cs="Times New Roman"/>
          <w:sz w:val="28"/>
          <w:szCs w:val="28"/>
        </w:rPr>
        <w:t>论</w:t>
      </w:r>
      <w:bookmarkEnd w:id="54"/>
    </w:p>
    <w:p>
      <w:pPr>
        <w:keepNext w:val="0"/>
        <w:keepLines w:val="0"/>
        <w:pageBreakBefore w:val="0"/>
        <w:widowControl w:val="0"/>
        <w:numPr>
          <w:ilvl w:val="0"/>
          <w:numId w:val="0"/>
        </w:numPr>
        <w:tabs>
          <w:tab w:val="left" w:pos="0"/>
        </w:tabs>
        <w:kinsoku/>
        <w:wordWrap/>
        <w:overflowPunct/>
        <w:topLinePunct w:val="0"/>
        <w:autoSpaceDE/>
        <w:autoSpaceDN/>
        <w:bidi w:val="0"/>
        <w:adjustRightInd/>
        <w:snapToGrid/>
        <w:ind w:leftChars="0" w:firstLine="480" w:firstLineChars="200"/>
        <w:textAlignment w:val="auto"/>
        <w:rPr>
          <w:rFonts w:hint="default" w:ascii="Times New Roman" w:hAnsi="Times New Roman" w:eastAsia="仿宋" w:cs="Times New Roman"/>
          <w:b/>
          <w:lang w:eastAsia="zh-CN"/>
        </w:rPr>
      </w:pPr>
      <w:r>
        <w:rPr>
          <w:rFonts w:hint="default" w:ascii="Times New Roman" w:hAnsi="Times New Roman" w:eastAsia="仿宋" w:cs="Times New Roman"/>
          <w:sz w:val="24"/>
          <w:szCs w:val="22"/>
        </w:rPr>
        <w:t>本着独立、客观、公正的原则及必要的价值分析程序，对</w:t>
      </w:r>
      <w:r>
        <w:rPr>
          <w:rFonts w:hint="eastAsia" w:eastAsia="仿宋" w:cs="Times New Roman"/>
          <w:sz w:val="24"/>
          <w:szCs w:val="22"/>
          <w:lang w:eastAsia="zh-CN"/>
        </w:rPr>
        <w:t>2026</w:t>
      </w:r>
      <w:r>
        <w:rPr>
          <w:rFonts w:hint="eastAsia" w:eastAsia="仿宋" w:cs="Times New Roman"/>
          <w:sz w:val="24"/>
          <w:szCs w:val="22"/>
          <w:lang w:eastAsia="zh-CN"/>
        </w:rPr>
        <w:t>年住房类</w:t>
      </w:r>
      <w:r>
        <w:rPr>
          <w:rFonts w:hint="default" w:ascii="Times New Roman" w:hAnsi="Times New Roman" w:eastAsia="仿宋" w:cs="Times New Roman"/>
          <w:sz w:val="24"/>
          <w:szCs w:val="22"/>
          <w:lang w:eastAsia="zh-CN"/>
        </w:rPr>
        <w:t>个贷不良资产证券化项目涉及的</w:t>
      </w:r>
      <w:r>
        <w:rPr>
          <w:rFonts w:hint="eastAsia" w:eastAsia="仿宋" w:cs="Times New Roman"/>
          <w:sz w:val="24"/>
          <w:szCs w:val="22"/>
          <w:lang w:eastAsia="zh-CN"/>
        </w:rPr>
        <w:t>仲路芹</w:t>
      </w:r>
      <w:r>
        <w:rPr>
          <w:rFonts w:hint="eastAsia" w:eastAsia="仿宋" w:cs="Times New Roman"/>
          <w:sz w:val="24"/>
          <w:szCs w:val="22"/>
          <w:lang w:eastAsia="zh-CN"/>
        </w:rPr>
        <w:t>户</w:t>
      </w:r>
      <w:r>
        <w:rPr>
          <w:rFonts w:hint="default" w:ascii="Times New Roman" w:hAnsi="Times New Roman" w:eastAsia="仿宋" w:cs="Times New Roman"/>
          <w:sz w:val="24"/>
          <w:szCs w:val="22"/>
          <w:lang w:eastAsia="zh-CN"/>
        </w:rPr>
        <w:t>债权</w:t>
      </w:r>
      <w:r>
        <w:rPr>
          <w:rFonts w:hint="default" w:ascii="Times New Roman" w:hAnsi="Times New Roman" w:eastAsia="仿宋" w:cs="Times New Roman"/>
          <w:sz w:val="24"/>
          <w:szCs w:val="22"/>
        </w:rPr>
        <w:t>的清算价值进行了价值分析。根据以上价值分析工作，得出如下价值分析结论</w:t>
      </w:r>
      <w:r>
        <w:rPr>
          <w:rFonts w:hint="default" w:ascii="Times New Roman" w:hAnsi="Times New Roman" w:eastAsia="仿宋" w:cs="Times New Roman"/>
          <w:sz w:val="24"/>
          <w:szCs w:val="22"/>
          <w:lang w:eastAsia="zh-CN"/>
        </w:rPr>
        <w:t>：</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p>
    <w:p>
      <w:pPr>
        <w:autoSpaceDE w:val="0"/>
        <w:autoSpaceDN w:val="0"/>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lang w:eastAsia="zh-CN"/>
        </w:rPr>
        <w:t>中国工商银行股份有限公司苏州分行</w:t>
      </w:r>
      <w:r>
        <w:rPr>
          <w:rFonts w:hint="default" w:ascii="Times New Roman" w:hAnsi="Times New Roman" w:eastAsia="仿宋" w:cs="Times New Roman"/>
          <w:lang w:eastAsia="zh-CN"/>
        </w:rPr>
        <w:t>2026</w:t>
      </w:r>
      <w:r>
        <w:rPr>
          <w:rFonts w:hint="default" w:ascii="Times New Roman" w:hAnsi="Times New Roman" w:eastAsia="仿宋" w:cs="Times New Roman"/>
          <w:lang w:eastAsia="zh-CN"/>
        </w:rPr>
        <w:t>年住房类个贷不良资产证券化项目涉及的</w:t>
      </w:r>
      <w:r>
        <w:rPr>
          <w:rFonts w:hint="default" w:ascii="Times New Roman" w:hAnsi="Times New Roman" w:eastAsia="仿宋" w:cs="Times New Roman"/>
          <w:lang w:eastAsia="zh-CN"/>
        </w:rPr>
        <w:t>仲路芹</w:t>
      </w:r>
      <w:r>
        <w:rPr>
          <w:rFonts w:hint="default" w:ascii="Times New Roman" w:hAnsi="Times New Roman" w:eastAsia="仿宋" w:cs="Times New Roman"/>
          <w:lang w:eastAsia="zh-CN"/>
        </w:rPr>
        <w:t>户债权于分析基准日</w:t>
      </w:r>
      <w:r>
        <w:rPr>
          <w:rFonts w:hint="default" w:ascii="Times New Roman" w:hAnsi="Times New Roman" w:eastAsia="仿宋" w:cs="Times New Roman"/>
          <w:lang w:eastAsia="zh-CN"/>
        </w:rPr>
        <w:t>2025年12月31日</w:t>
      </w:r>
      <w:r>
        <w:rPr>
          <w:rFonts w:hint="default" w:ascii="Times New Roman" w:hAnsi="Times New Roman" w:eastAsia="仿宋" w:cs="Times New Roman"/>
          <w:lang w:eastAsia="zh-CN"/>
        </w:rPr>
        <w:t>的剩余债权金额为</w:t>
      </w:r>
      <w:r>
        <w:rPr>
          <w:rFonts w:hint="default" w:ascii="Times New Roman" w:hAnsi="Times New Roman" w:eastAsia="仿宋" w:cs="Times New Roman"/>
          <w:lang w:eastAsia="zh-CN"/>
        </w:rPr>
        <w:t>55.91</w:t>
      </w:r>
      <w:r>
        <w:rPr>
          <w:rFonts w:hint="default" w:ascii="Times New Roman" w:hAnsi="Times New Roman" w:eastAsia="仿宋" w:cs="Times New Roman"/>
          <w:lang w:eastAsia="zh-CN"/>
        </w:rPr>
        <w:t>万元，在快速变现前提下分析价值为</w:t>
      </w:r>
      <w:r>
        <w:rPr>
          <w:rFonts w:hint="default" w:ascii="Times New Roman" w:hAnsi="Times New Roman" w:eastAsia="仿宋" w:cs="Times New Roman"/>
          <w:lang w:eastAsia="zh-CN"/>
        </w:rPr>
        <w:t>55.91</w:t>
      </w:r>
      <w:r>
        <w:rPr>
          <w:rFonts w:hint="default" w:ascii="Times New Roman" w:hAnsi="Times New Roman" w:eastAsia="仿宋" w:cs="Times New Roman"/>
          <w:lang w:eastAsia="zh-CN"/>
        </w:rPr>
        <w:t>万元，预计偿债率为</w:t>
      </w:r>
      <w:r>
        <w:rPr>
          <w:rFonts w:hint="default" w:ascii="Times New Roman" w:hAnsi="Times New Roman" w:eastAsia="仿宋" w:cs="Times New Roman"/>
          <w:lang w:eastAsia="zh-CN"/>
        </w:rPr>
        <w:t>100.00%</w:t>
      </w:r>
      <w:r>
        <w:rPr>
          <w:rFonts w:hint="default" w:ascii="Times New Roman" w:hAnsi="Times New Roman" w:eastAsia="仿宋" w:cs="Times New Roman"/>
          <w:lang w:eastAsia="zh-CN"/>
        </w:rPr>
        <w:t>（取整至百位，详见价值分析估算表）。</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bookmarkStart w:id="60" w:name="OLE_LINK15"/>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bookmarkEnd w:id="60"/>
      <w:r>
        <w:rPr>
          <w:rFonts w:hint="default" w:ascii="Times New Roman" w:hAnsi="Times New Roman" w:eastAsia="仿宋" w:cs="Times New Roman"/>
          <w:b/>
        </w:rPr>
        <w:t>的使用有效期</w:t>
      </w:r>
    </w:p>
    <w:p>
      <w:pPr>
        <w:autoSpaceDE w:val="0"/>
        <w:autoSpaceDN w:val="0"/>
        <w:ind w:left="0" w:leftChars="0" w:firstLine="480" w:firstLineChars="200"/>
        <w:textAlignment w:val="bottom"/>
        <w:rPr>
          <w:rFonts w:hint="default" w:ascii="Times New Roman" w:hAnsi="Times New Roman" w:eastAsia="仿宋" w:cs="Times New Roman"/>
          <w:lang w:val="en-US" w:eastAsia="zh-CN"/>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lang w:eastAsia="zh-CN"/>
        </w:rPr>
        <w:t>2025年12月31日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2026年6月29日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lang w:val="en-US"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1" w:name="_Toc21458"/>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特别</w:t>
      </w:r>
      <w:bookmarkStart w:id="62" w:name="_Hlt475689987"/>
      <w:r>
        <w:rPr>
          <w:rFonts w:hint="default" w:ascii="Times New Roman" w:hAnsi="Times New Roman" w:eastAsia="仿宋" w:cs="Times New Roman"/>
          <w:sz w:val="28"/>
        </w:rPr>
        <w:t>事</w:t>
      </w:r>
      <w:bookmarkEnd w:id="62"/>
      <w:bookmarkStart w:id="63" w:name="_Hlt475689676"/>
      <w:r>
        <w:rPr>
          <w:rFonts w:hint="default" w:ascii="Times New Roman" w:hAnsi="Times New Roman" w:eastAsia="仿宋" w:cs="Times New Roman"/>
          <w:sz w:val="28"/>
        </w:rPr>
        <w:t>项</w:t>
      </w:r>
      <w:bookmarkEnd w:id="63"/>
      <w:r>
        <w:rPr>
          <w:rFonts w:hint="default" w:ascii="Times New Roman" w:hAnsi="Times New Roman" w:eastAsia="仿宋" w:cs="Times New Roman"/>
          <w:sz w:val="28"/>
        </w:rPr>
        <w:t>说明</w:t>
      </w:r>
      <w:bookmarkEnd w:id="55"/>
      <w:bookmarkEnd w:id="56"/>
      <w:bookmarkEnd w:id="57"/>
      <w:bookmarkEnd w:id="58"/>
      <w:bookmarkEnd w:id="59"/>
      <w:r>
        <w:rPr>
          <w:rFonts w:hint="default" w:ascii="Times New Roman" w:hAnsi="Times New Roman" w:eastAsia="仿宋" w:cs="Times New Roman"/>
          <w:sz w:val="28"/>
        </w:rPr>
        <w:fldChar w:fldCharType="end"/>
      </w:r>
      <w:bookmarkEnd w:id="61"/>
    </w:p>
    <w:p>
      <w:pPr>
        <w:tabs>
          <w:tab w:val="left" w:pos="0"/>
          <w:tab w:val="left" w:pos="840"/>
        </w:tabs>
        <w:ind w:firstLine="480" w:firstLineChars="200"/>
        <w:rPr>
          <w:rFonts w:hint="default" w:ascii="Times New Roman" w:hAnsi="Times New Roman" w:eastAsia="仿宋" w:cs="Times New Roman"/>
          <w:lang w:eastAsia="zh-CN"/>
        </w:rPr>
      </w:pPr>
      <w:r>
        <w:rPr>
          <w:rFonts w:hint="default" w:ascii="Times New Roman" w:hAnsi="Times New Roman" w:eastAsia="仿宋" w:cs="Times New Roman"/>
        </w:rPr>
        <w:t>下列事项可能对价值分析结论产生影响，受条件限制，本价值分析报告未考虑下列特别事项对价值分析结论可能存在的影响，特提请报告使用者注意</w:t>
      </w:r>
      <w:r>
        <w:rPr>
          <w:rFonts w:hint="default" w:ascii="Times New Roman" w:hAnsi="Times New Roman" w:eastAsia="仿宋" w:cs="Times New Roman"/>
          <w:lang w:eastAsia="zh-CN"/>
        </w:rPr>
        <w:t>。</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根据委托，本次价值分析是以债权资产处置为目的的价值分析业务。价值分析基准日形成的价值分析结论是在受到一定限制条件下形成的专业意见，是一种推断和建议性意见。</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我们提醒报告使用者充分关注本价值分析报告在资料可获得程度和可执行价值分析程序上所受到的限制，并合理理解所受限制条件对价值分析结论的影响。</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本次价值分析结论受到的限制条件主要包括以下方面：本次价值分析，由于未获得债务人的详细资产、负债资料，故本报告价值分析人员</w:t>
      </w:r>
      <w:r>
        <w:rPr>
          <w:rFonts w:hint="default" w:ascii="Times New Roman" w:hAnsi="Times New Roman" w:eastAsia="仿宋" w:cs="Times New Roman"/>
          <w:lang w:val="en-US" w:eastAsia="zh-CN"/>
        </w:rPr>
        <w:t>仅对抵押物的快速变现价值</w:t>
      </w:r>
      <w:r>
        <w:rPr>
          <w:rFonts w:hint="default" w:ascii="Times New Roman" w:hAnsi="Times New Roman" w:eastAsia="仿宋" w:cs="Times New Roman"/>
        </w:rPr>
        <w:t>进行估算。根据相关法律、法规和资产评估准则，价值分析结论不应当被认为是对评估对象可实现价格的保证。</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本报告只能用于载明的目的，若因委托人和其他报告使用者使用不当造成的一切后果与评估机构和资产评估师无关。</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人员没有发现其他可能影响价值分析结论，且非价值分析人员能力所能评定估算的重大瑕疵事项。但是，报告使用者应当不完全依赖本报告，而应对资产的权属状况、价值影响因素及相关内容作出自己的独立判断，并在经济行为中适当考虑。</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lang w:eastAsia="zh-CN"/>
        </w:rPr>
      </w:pPr>
      <w:r>
        <w:rPr>
          <w:rFonts w:hint="default" w:ascii="Times New Roman" w:hAnsi="Times New Roman" w:eastAsia="仿宋" w:cs="Times New Roman"/>
        </w:rPr>
        <w:t>本次价值分析中，价值分析人员未发现基准日至报告日之间可能对价值分析结论产生影响的重要事项</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4" w:name="_Toc5964"/>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HYPERLINK  \l "目录"</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65" w:name="_Hlt475689693"/>
      <w:bookmarkStart w:id="66" w:name="_Hlt475689694"/>
      <w:r>
        <w:rPr>
          <w:rFonts w:hint="default" w:ascii="Times New Roman" w:hAnsi="Times New Roman" w:eastAsia="仿宋" w:cs="Times New Roman"/>
          <w:sz w:val="28"/>
        </w:rPr>
        <w:t>告</w:t>
      </w:r>
      <w:bookmarkEnd w:id="65"/>
      <w:bookmarkEnd w:id="66"/>
      <w:bookmarkStart w:id="67" w:name="_Hlt475689691"/>
      <w:r>
        <w:rPr>
          <w:rFonts w:hint="default" w:ascii="Times New Roman" w:hAnsi="Times New Roman" w:eastAsia="仿宋" w:cs="Times New Roman"/>
          <w:sz w:val="28"/>
        </w:rPr>
        <w:t>使</w:t>
      </w:r>
      <w:bookmarkEnd w:id="67"/>
      <w:bookmarkStart w:id="68" w:name="_Hlt475689701"/>
      <w:r>
        <w:rPr>
          <w:rFonts w:hint="default" w:ascii="Times New Roman" w:hAnsi="Times New Roman" w:eastAsia="仿宋" w:cs="Times New Roman"/>
          <w:sz w:val="28"/>
        </w:rPr>
        <w:t>用</w:t>
      </w:r>
      <w:bookmarkEnd w:id="68"/>
      <w:bookmarkStart w:id="69" w:name="_Hlt475689709"/>
      <w:r>
        <w:rPr>
          <w:rFonts w:hint="default" w:ascii="Times New Roman" w:hAnsi="Times New Roman" w:eastAsia="仿宋" w:cs="Times New Roman"/>
          <w:sz w:val="28"/>
        </w:rPr>
        <w:t>限</w:t>
      </w:r>
      <w:bookmarkEnd w:id="69"/>
      <w:r>
        <w:rPr>
          <w:rFonts w:hint="default" w:ascii="Times New Roman" w:hAnsi="Times New Roman" w:eastAsia="仿宋" w:cs="Times New Roman"/>
          <w:sz w:val="28"/>
        </w:rPr>
        <w:t>制说明</w:t>
      </w:r>
      <w:r>
        <w:rPr>
          <w:rFonts w:hint="default" w:ascii="Times New Roman" w:hAnsi="Times New Roman" w:eastAsia="仿宋" w:cs="Times New Roman"/>
          <w:sz w:val="28"/>
        </w:rPr>
        <w:fldChar w:fldCharType="end"/>
      </w:r>
      <w:bookmarkEnd w:id="64"/>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的内容使用。</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委托人或者其他价值分析报告使用人未按照法律、行政法规规定和价值分析报告载明的使用范围使用价值分析报告的，资产评估机构及其资产评估师不承担责任。</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除委托人之外，其他任何机构和个人不能成为价值分析报告的使用人。</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价值分析报告使用人应当正确理解和使用价值分析结论，价值分析结论不等同于价值分析对象可实现价格，价值分析结论不应当被认为是对价值分析对象可实现价格的保证。</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未征得出具价值分析报告的资产评估机构同意，价值分析报告的内容不得被摘抄、引用或披露于公开媒体，法律、行政法规规定以及相关当事人另有约定的除外。</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本价值分析报告对截</w:t>
      </w:r>
      <w:r>
        <w:rPr>
          <w:rFonts w:hint="default" w:ascii="Times New Roman" w:hAnsi="Times New Roman" w:eastAsia="仿宋" w:cs="Times New Roman"/>
          <w:szCs w:val="24"/>
          <w:lang w:val="en-US" w:eastAsia="zh-CN"/>
        </w:rPr>
        <w:t>至</w:t>
      </w:r>
      <w:r>
        <w:rPr>
          <w:rFonts w:hint="default" w:ascii="Times New Roman" w:hAnsi="Times New Roman" w:eastAsia="仿宋" w:cs="Times New Roman"/>
          <w:szCs w:val="24"/>
        </w:rPr>
        <w:t>报告日涉及本价值分析项目的相关事项，已经知晓的均进行了披露；对不知晓的事项未能进行披露。请价值分析报告使用人正确理解相关披露事项。</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本价值分析报告经评估机构盖章后方可正式使用。</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0" w:name="_Toc477429881"/>
      <w:bookmarkStart w:id="71" w:name="_Toc165180899"/>
      <w:bookmarkStart w:id="72" w:name="_Toc445967725"/>
      <w:bookmarkStart w:id="73" w:name="_Toc445967590"/>
      <w:bookmarkStart w:id="74" w:name="_Toc10350"/>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75" w:name="_Hlt475689725"/>
      <w:r>
        <w:rPr>
          <w:rFonts w:hint="default" w:ascii="Times New Roman" w:hAnsi="Times New Roman" w:eastAsia="仿宋" w:cs="Times New Roman"/>
          <w:sz w:val="28"/>
        </w:rPr>
        <w:t>告</w:t>
      </w:r>
      <w:bookmarkEnd w:id="75"/>
      <w:r>
        <w:rPr>
          <w:rFonts w:hint="default" w:ascii="Times New Roman" w:hAnsi="Times New Roman" w:eastAsia="仿宋" w:cs="Times New Roman"/>
          <w:sz w:val="28"/>
        </w:rPr>
        <w:t>日</w:t>
      </w:r>
      <w:bookmarkEnd w:id="70"/>
      <w:bookmarkEnd w:id="71"/>
      <w:bookmarkEnd w:id="72"/>
      <w:bookmarkEnd w:id="73"/>
      <w:r>
        <w:rPr>
          <w:rFonts w:hint="default" w:ascii="Times New Roman" w:hAnsi="Times New Roman" w:eastAsia="仿宋" w:cs="Times New Roman"/>
          <w:sz w:val="28"/>
        </w:rPr>
        <w:fldChar w:fldCharType="end"/>
      </w:r>
      <w:bookmarkEnd w:id="74"/>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rPr>
        <w:t>本价值分析报告日为</w:t>
      </w:r>
      <w:r>
        <w:rPr>
          <w:rFonts w:hint="default" w:ascii="Times New Roman" w:hAnsi="Times New Roman" w:eastAsia="仿宋" w:cs="Times New Roman"/>
        </w:rPr>
        <w:t>2026年3月26日</w:t>
      </w:r>
      <w:r>
        <w:rPr>
          <w:rFonts w:hint="default" w:ascii="Times New Roman" w:hAnsi="Times New Roman" w:eastAsia="仿宋" w:cs="Times New Roman"/>
        </w:rPr>
        <w:t>。</w:t>
      </w:r>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cs="Times New Roman"/>
        </w:rPr>
      </w:pPr>
      <w:r>
        <w:rPr>
          <w:rFonts w:hint="default" w:ascii="Times New Roman" w:hAnsi="Times New Roman" w:eastAsia="仿宋" w:cs="Times New Roman"/>
          <w:lang w:val="en-US" w:eastAsia="zh-CN"/>
        </w:rPr>
        <w:t>价值分析</w:t>
      </w:r>
      <w:r>
        <w:rPr>
          <w:rFonts w:hint="default" w:ascii="Times New Roman" w:hAnsi="Times New Roman" w:eastAsia="仿宋" w:cs="Times New Roman"/>
        </w:rPr>
        <w:t>报告日为分析结论形成日。</w:t>
      </w:r>
    </w:p>
    <w:bookmarkEnd w:id="76"/>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8" w:name="_签名盖章"/>
      <w:bookmarkEnd w:id="78"/>
      <w:bookmarkStart w:id="79" w:name="_Toc28227"/>
      <w:r>
        <w:rPr>
          <w:rFonts w:hint="default" w:ascii="Times New Roman" w:hAnsi="Times New Roman" w:eastAsia="仿宋" w:cs="Times New Roman"/>
          <w:sz w:val="28"/>
        </w:rPr>
        <w:t>资产评估机构印章</w:t>
      </w:r>
      <w:bookmarkEnd w:id="79"/>
    </w:p>
    <w:p>
      <w:pPr>
        <w:ind w:firstLine="480" w:firstLineChars="200"/>
        <w:rPr>
          <w:rFonts w:hint="default" w:ascii="Times New Roman" w:hAnsi="Times New Roman" w:eastAsia="仿宋" w:cs="Times New Roman"/>
        </w:rPr>
      </w:pP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 w:val="30"/>
          <w:szCs w:val="30"/>
        </w:rPr>
      </w:pPr>
      <w:r>
        <w:rPr>
          <w:rFonts w:hint="default" w:ascii="Times New Roman" w:hAnsi="Times New Roman" w:eastAsia="仿宋" w:cs="Times New Roman"/>
        </w:rPr>
        <w:t>资产评估机构：江苏天地恒安房地产土地资产评估有限公司</w:t>
      </w:r>
      <w:bookmarkStart w:id="80" w:name="_Toc239047409"/>
      <w:r>
        <w:rPr>
          <w:rFonts w:hint="default" w:ascii="Times New Roman" w:hAnsi="Times New Roman" w:eastAsia="仿宋" w:cs="Times New Roman"/>
          <w:sz w:val="30"/>
          <w:szCs w:val="30"/>
        </w:rPr>
        <w:br w:type="page"/>
      </w:r>
    </w:p>
    <w:p>
      <w:pPr>
        <w:pStyle w:val="4"/>
        <w:keepNext w:val="0"/>
        <w:keepLines w:val="0"/>
        <w:pageBreakBefore w:val="0"/>
        <w:widowControl w:val="0"/>
        <w:kinsoku/>
        <w:wordWrap/>
        <w:overflowPunct/>
        <w:topLinePunct w:val="0"/>
        <w:autoSpaceDE/>
        <w:autoSpaceDN/>
        <w:bidi w:val="0"/>
        <w:adjustRightInd w:val="0"/>
        <w:snapToGrid/>
        <w:spacing w:line="240" w:lineRule="auto"/>
        <w:ind w:firstLine="0"/>
        <w:jc w:val="center"/>
        <w:textAlignment w:val="baseline"/>
        <w:rPr>
          <w:rFonts w:hint="default" w:ascii="Times New Roman" w:hAnsi="Times New Roman" w:eastAsia="仿宋" w:cs="Times New Roman"/>
          <w:sz w:val="30"/>
          <w:szCs w:val="30"/>
        </w:rPr>
      </w:pPr>
      <w:bookmarkStart w:id="81" w:name="_Toc19785"/>
      <w:r>
        <w:rPr>
          <w:rFonts w:hint="default" w:ascii="Times New Roman" w:hAnsi="Times New Roman" w:eastAsia="仿宋" w:cs="Times New Roman"/>
          <w:sz w:val="30"/>
          <w:szCs w:val="30"/>
        </w:rPr>
        <w:fldChar w:fldCharType="begin"/>
      </w:r>
      <w:r>
        <w:rPr>
          <w:rFonts w:hint="default" w:ascii="Times New Roman" w:hAnsi="Times New Roman" w:eastAsia="仿宋" w:cs="Times New Roman"/>
          <w:sz w:val="30"/>
          <w:szCs w:val="30"/>
        </w:rPr>
        <w:instrText xml:space="preserve"> HYPERLINK  \l "目录" </w:instrText>
      </w:r>
      <w:r>
        <w:rPr>
          <w:rFonts w:hint="default" w:ascii="Times New Roman" w:hAnsi="Times New Roman" w:eastAsia="仿宋" w:cs="Times New Roman"/>
          <w:sz w:val="30"/>
          <w:szCs w:val="30"/>
        </w:rPr>
        <w:fldChar w:fldCharType="separate"/>
      </w:r>
      <w:r>
        <w:rPr>
          <w:rStyle w:val="74"/>
          <w:rFonts w:hint="default" w:ascii="Times New Roman" w:hAnsi="Times New Roman" w:eastAsia="仿宋" w:cs="Times New Roman"/>
          <w:color w:val="auto"/>
          <w:sz w:val="30"/>
          <w:szCs w:val="30"/>
          <w:u w:val="none"/>
          <w:lang w:val="en-US" w:eastAsia="zh-CN"/>
        </w:rPr>
        <w:t>价值分析</w:t>
      </w:r>
      <w:r>
        <w:rPr>
          <w:rStyle w:val="74"/>
          <w:rFonts w:hint="default" w:ascii="Times New Roman" w:hAnsi="Times New Roman" w:eastAsia="仿宋" w:cs="Times New Roman"/>
          <w:color w:val="auto"/>
          <w:sz w:val="30"/>
          <w:szCs w:val="30"/>
          <w:u w:val="none"/>
        </w:rPr>
        <w:t>报告</w:t>
      </w:r>
      <w:bookmarkStart w:id="82" w:name="_Hlt475689776"/>
      <w:r>
        <w:rPr>
          <w:rStyle w:val="74"/>
          <w:rFonts w:hint="default" w:ascii="Times New Roman" w:hAnsi="Times New Roman" w:eastAsia="仿宋" w:cs="Times New Roman"/>
          <w:color w:val="auto"/>
          <w:sz w:val="30"/>
          <w:szCs w:val="30"/>
          <w:u w:val="none"/>
        </w:rPr>
        <w:t>附</w:t>
      </w:r>
      <w:bookmarkEnd w:id="82"/>
      <w:r>
        <w:rPr>
          <w:rStyle w:val="74"/>
          <w:rFonts w:hint="default" w:ascii="Times New Roman" w:hAnsi="Times New Roman" w:eastAsia="仿宋" w:cs="Times New Roman"/>
          <w:color w:val="auto"/>
          <w:sz w:val="30"/>
          <w:szCs w:val="30"/>
          <w:u w:val="none"/>
        </w:rPr>
        <w:t>件</w:t>
      </w:r>
      <w:bookmarkEnd w:id="80"/>
      <w:r>
        <w:rPr>
          <w:rFonts w:hint="default" w:ascii="Times New Roman" w:hAnsi="Times New Roman" w:eastAsia="仿宋" w:cs="Times New Roman"/>
          <w:sz w:val="30"/>
          <w:szCs w:val="30"/>
        </w:rPr>
        <w:fldChar w:fldCharType="end"/>
      </w:r>
      <w:bookmarkEnd w:id="81"/>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szCs w:val="22"/>
        </w:rPr>
        <w:t>价值分析估算表</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委托人营业执照复印件</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江苏天地恒安房地产土地资产评估有限公司营业执照副本复印件</w:t>
      </w:r>
    </w:p>
    <w:p>
      <w:pPr>
        <w:numPr>
          <w:ilvl w:val="0"/>
          <w:numId w:val="29"/>
        </w:numPr>
        <w:tabs>
          <w:tab w:val="left" w:pos="945"/>
        </w:tabs>
        <w:rPr>
          <w:rFonts w:hint="default" w:ascii="Times New Roman" w:hAnsi="Times New Roman" w:eastAsia="仿宋" w:cs="Times New Roman"/>
          <w:szCs w:val="24"/>
        </w:rPr>
      </w:pPr>
      <w:r>
        <w:rPr>
          <w:rFonts w:hint="default" w:ascii="Times New Roman" w:hAnsi="Times New Roman" w:eastAsia="仿宋" w:cs="Times New Roman"/>
        </w:rPr>
        <w:t>江苏天地恒安房地产土地资产评估有限公司备案公告复印件</w:t>
      </w:r>
    </w:p>
    <w:p>
      <w:pPr>
        <w:numPr>
          <w:ilvl w:val="0"/>
          <w:numId w:val="0"/>
        </w:numPr>
        <w:tabs>
          <w:tab w:val="left" w:pos="945"/>
        </w:tabs>
        <w:ind w:leftChars="180"/>
        <w:rPr>
          <w:rFonts w:hint="default" w:ascii="Times New Roman" w:hAnsi="Times New Roman" w:eastAsia="仿宋" w:cs="Times New Roman"/>
          <w:szCs w:val="24"/>
        </w:rPr>
      </w:pPr>
    </w:p>
    <w:sectPr>
      <w:footerReference r:id="rId7" w:type="default"/>
      <w:pgSz w:w="11907" w:h="16840"/>
      <w:pgMar w:top="1247" w:right="1197" w:bottom="1247" w:left="1797" w:header="567" w:footer="198"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panose1 w:val="02010609030101010101"/>
    <w:charset w:val="86"/>
    <w:family w:val="modern"/>
    <w:pitch w:val="default"/>
    <w:sig w:usb0="00000001" w:usb1="080E0000" w:usb2="00000000" w:usb3="00000000" w:csb0="00040000" w:csb1="00000000"/>
    <w:embedRegular r:id="rId1" w:fontKey="{6C9CE92F-ADB8-44AB-B1C8-A56F140705D3}"/>
  </w:font>
  <w:font w:name="仿宋_GB2312">
    <w:panose1 w:val="02010609030101010101"/>
    <w:charset w:val="86"/>
    <w:family w:val="modern"/>
    <w:pitch w:val="default"/>
    <w:sig w:usb0="00000001" w:usb1="080E0000" w:usb2="00000000" w:usb3="00000000" w:csb0="00040000" w:csb1="00000000"/>
    <w:embedRegular r:id="rId2" w:fontKey="{6A3933DB-7587-451D-ADC3-DAB6372FC770}"/>
  </w:font>
  <w:font w:name="仿宋">
    <w:panose1 w:val="02010609060101010101"/>
    <w:charset w:val="86"/>
    <w:family w:val="auto"/>
    <w:pitch w:val="default"/>
    <w:sig w:usb0="800002BF" w:usb1="38CF7CFA" w:usb2="00000016" w:usb3="00000000" w:csb0="00040001" w:csb1="00000000"/>
    <w:embedRegular r:id="rId3" w:fontKey="{AD83C0AA-4AA4-4D09-B8AE-C4D3EA1BD7C5}"/>
  </w:font>
  <w:font w:name="Arial Narrow">
    <w:panose1 w:val="020B0606020202030204"/>
    <w:charset w:val="00"/>
    <w:family w:val="swiss"/>
    <w:pitch w:val="default"/>
    <w:sig w:usb0="00000287" w:usb1="00000800" w:usb2="00000000" w:usb3="00000000" w:csb0="2000009F" w:csb1="DFD7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embedRegular r:id="rId4" w:fontKey="{6F644FD2-4871-4CE9-A748-118ABC25AD34}"/>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ind w:left="527"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sz w:val="18"/>
      </w:rPr>
      <mc:AlternateContent>
        <mc:Choice Requires="wps">
          <w:drawing>
            <wp:anchor distT="0" distB="0" distL="114300" distR="114300" simplePos="0" relativeHeight="251660288" behindDoc="0" locked="0" layoutInCell="1" allowOverlap="1">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pStyle w:val="97"/>
      <w:jc w:val="center"/>
      <w:rPr>
        <w:rFonts w:hint="eastAsia" w:ascii="仿宋_GB2312" w:eastAsia="仿宋_GB2312"/>
        <w:lang w:val="en-US" w:eastAsia="zh-CN"/>
      </w:rPr>
    </w:pPr>
  </w:p>
  <w:p>
    <w:pPr>
      <w:ind w:left="527"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6"/>
      <w:pBdr>
        <w:bottom w:val="none" w:color="auto" w:sz="0" w:space="1"/>
      </w:pBdr>
      <w:ind w:firstLine="0"/>
      <w:jc w:val="right"/>
    </w:pPr>
    <w:r>
      <w:rPr>
        <w:sz w:val="18"/>
      </w:rPr>
      <mc:AlternateContent>
        <mc:Choice Requires="wps">
          <w:drawing>
            <wp:anchor distT="0" distB="0" distL="114300" distR="114300" simplePos="0" relativeHeight="251662336" behindDoc="1" locked="0" layoutInCell="1" allowOverlap="1">
              <wp:simplePos x="0" y="0"/>
              <wp:positionH relativeFrom="column">
                <wp:posOffset>1123315</wp:posOffset>
              </wp:positionH>
              <wp:positionV relativeFrom="paragraph">
                <wp:posOffset>-36195</wp:posOffset>
              </wp:positionV>
              <wp:extent cx="4630420" cy="461010"/>
              <wp:effectExtent l="0" t="0" r="5080" b="8890"/>
              <wp:wrapTight wrapText="bothSides">
                <wp:wrapPolygon>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2026</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仲路芹</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2026</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仲路芹</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ascii="宋体" w:hAnsi="宋体" w:cs="宋体"/>
        <w:sz w:val="18"/>
      </w:rPr>
      <w:drawing>
        <wp:anchor distT="0" distB="0" distL="114300" distR="114300" simplePos="0" relativeHeight="251661312" behindDoc="0" locked="0" layoutInCell="1" allowOverlap="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8F0682"/>
    <w:multiLevelType w:val="singleLevel"/>
    <w:tmpl w:val="948F0682"/>
    <w:lvl w:ilvl="0" w:tentative="0">
      <w:start w:val="1"/>
      <w:numFmt w:val="decimal"/>
      <w:suff w:val="space"/>
      <w:lvlText w:val="%1."/>
      <w:lvlJc w:val="left"/>
      <w:pPr>
        <w:ind w:left="425" w:hanging="425"/>
      </w:pPr>
      <w:rPr>
        <w:rFonts w:hint="default"/>
      </w:rPr>
    </w:lvl>
  </w:abstractNum>
  <w:abstractNum w:abstractNumId="1">
    <w:nsid w:val="A18AB340"/>
    <w:multiLevelType w:val="singleLevel"/>
    <w:tmpl w:val="A18AB340"/>
    <w:lvl w:ilvl="0" w:tentative="0">
      <w:start w:val="1"/>
      <w:numFmt w:val="decimal"/>
      <w:suff w:val="space"/>
      <w:lvlText w:val="%1."/>
      <w:lvlJc w:val="left"/>
      <w:pPr>
        <w:ind w:left="425" w:hanging="425"/>
      </w:pPr>
      <w:rPr>
        <w:rFonts w:hint="default"/>
      </w:rPr>
    </w:lvl>
  </w:abstractNum>
  <w:abstractNum w:abstractNumId="2">
    <w:nsid w:val="AD2E6E0C"/>
    <w:multiLevelType w:val="singleLevel"/>
    <w:tmpl w:val="AD2E6E0C"/>
    <w:lvl w:ilvl="0" w:tentative="0">
      <w:start w:val="1"/>
      <w:numFmt w:val="chineseCounting"/>
      <w:suff w:val="nothing"/>
      <w:lvlText w:val="（%1）"/>
      <w:lvlJc w:val="left"/>
      <w:pPr>
        <w:ind w:left="0" w:firstLine="420"/>
      </w:pPr>
      <w:rPr>
        <w:rFonts w:hint="eastAsia"/>
      </w:rPr>
    </w:lvl>
  </w:abstractNum>
  <w:abstractNum w:abstractNumId="3">
    <w:nsid w:val="CC15D326"/>
    <w:multiLevelType w:val="singleLevel"/>
    <w:tmpl w:val="CC15D326"/>
    <w:lvl w:ilvl="0" w:tentative="0">
      <w:start w:val="1"/>
      <w:numFmt w:val="decimal"/>
      <w:suff w:val="space"/>
      <w:lvlText w:val="%1."/>
      <w:lvlJc w:val="left"/>
      <w:pPr>
        <w:ind w:left="425" w:hanging="425"/>
      </w:pPr>
      <w:rPr>
        <w:rFonts w:hint="default"/>
      </w:rPr>
    </w:lvl>
  </w:abstractNum>
  <w:abstractNum w:abstractNumId="4">
    <w:nsid w:val="E305A732"/>
    <w:multiLevelType w:val="multilevel"/>
    <w:tmpl w:val="E305A732"/>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E6B365E9"/>
    <w:multiLevelType w:val="multilevel"/>
    <w:tmpl w:val="E6B365E9"/>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F91370D7"/>
    <w:multiLevelType w:val="singleLevel"/>
    <w:tmpl w:val="F91370D7"/>
    <w:lvl w:ilvl="0" w:tentative="0">
      <w:start w:val="1"/>
      <w:numFmt w:val="decimal"/>
      <w:suff w:val="nothing"/>
      <w:lvlText w:val="（%1）"/>
      <w:lvlJc w:val="left"/>
      <w:pPr>
        <w:ind w:left="425" w:leftChars="0" w:hanging="425" w:firstLineChars="0"/>
      </w:pPr>
      <w:rPr>
        <w:rFonts w:hint="default"/>
      </w:rPr>
    </w:lvl>
  </w:abstractNum>
  <w:abstractNum w:abstractNumId="7">
    <w:nsid w:val="FDE39EF1"/>
    <w:multiLevelType w:val="singleLevel"/>
    <w:tmpl w:val="FDE39EF1"/>
    <w:lvl w:ilvl="0" w:tentative="0">
      <w:start w:val="1"/>
      <w:numFmt w:val="decimal"/>
      <w:suff w:val="space"/>
      <w:lvlText w:val="%1."/>
      <w:lvlJc w:val="left"/>
      <w:pPr>
        <w:ind w:left="425" w:hanging="425"/>
      </w:pPr>
      <w:rPr>
        <w:rFonts w:hint="default"/>
      </w:rPr>
    </w:lvl>
  </w:abstractNum>
  <w:abstractNum w:abstractNumId="8">
    <w:nsid w:val="FFFFFF7C"/>
    <w:multiLevelType w:val="singleLevel"/>
    <w:tmpl w:val="FFFFFF7C"/>
    <w:lvl w:ilvl="0" w:tentative="0">
      <w:start w:val="1"/>
      <w:numFmt w:val="decimal"/>
      <w:pStyle w:val="51"/>
      <w:lvlText w:val="%1."/>
      <w:lvlJc w:val="left"/>
      <w:pPr>
        <w:tabs>
          <w:tab w:val="left" w:pos="2040"/>
        </w:tabs>
        <w:ind w:left="2040" w:hanging="360"/>
      </w:pPr>
    </w:lvl>
  </w:abstractNum>
  <w:abstractNum w:abstractNumId="9">
    <w:nsid w:val="FFFFFF7D"/>
    <w:multiLevelType w:val="singleLevel"/>
    <w:tmpl w:val="FFFFFF7D"/>
    <w:lvl w:ilvl="0" w:tentative="0">
      <w:start w:val="1"/>
      <w:numFmt w:val="decimal"/>
      <w:pStyle w:val="38"/>
      <w:lvlText w:val="%1."/>
      <w:lvlJc w:val="left"/>
      <w:pPr>
        <w:tabs>
          <w:tab w:val="left" w:pos="1620"/>
        </w:tabs>
        <w:ind w:left="1620" w:hanging="360"/>
      </w:pPr>
    </w:lvl>
  </w:abstractNum>
  <w:abstractNum w:abstractNumId="10">
    <w:nsid w:val="FFFFFF7E"/>
    <w:multiLevelType w:val="singleLevel"/>
    <w:tmpl w:val="FFFFFF7E"/>
    <w:lvl w:ilvl="0" w:tentative="0">
      <w:start w:val="1"/>
      <w:numFmt w:val="decimal"/>
      <w:pStyle w:val="30"/>
      <w:lvlText w:val="%1."/>
      <w:lvlJc w:val="left"/>
      <w:pPr>
        <w:tabs>
          <w:tab w:val="left" w:pos="1200"/>
        </w:tabs>
        <w:ind w:left="1200" w:hanging="360"/>
      </w:pPr>
    </w:lvl>
  </w:abstractNum>
  <w:abstractNum w:abstractNumId="11">
    <w:nsid w:val="FFFFFF7F"/>
    <w:multiLevelType w:val="singleLevel"/>
    <w:tmpl w:val="FFFFFF7F"/>
    <w:lvl w:ilvl="0" w:tentative="0">
      <w:start w:val="1"/>
      <w:numFmt w:val="decimal"/>
      <w:pStyle w:val="15"/>
      <w:lvlText w:val="%1."/>
      <w:lvlJc w:val="left"/>
      <w:pPr>
        <w:tabs>
          <w:tab w:val="left" w:pos="780"/>
        </w:tabs>
        <w:ind w:left="780" w:hanging="360"/>
      </w:pPr>
    </w:lvl>
  </w:abstractNum>
  <w:abstractNum w:abstractNumId="12">
    <w:nsid w:val="FFFFFF80"/>
    <w:multiLevelType w:val="singleLevel"/>
    <w:tmpl w:val="FFFFFF80"/>
    <w:lvl w:ilvl="0" w:tentative="0">
      <w:start w:val="1"/>
      <w:numFmt w:val="bullet"/>
      <w:pStyle w:val="37"/>
      <w:lvlText w:val=""/>
      <w:lvlJc w:val="left"/>
      <w:pPr>
        <w:tabs>
          <w:tab w:val="left" w:pos="2040"/>
        </w:tabs>
        <w:ind w:left="2040" w:hanging="360"/>
      </w:pPr>
      <w:rPr>
        <w:rFonts w:hint="default" w:ascii="Wingdings" w:hAnsi="Wingdings"/>
      </w:rPr>
    </w:lvl>
  </w:abstractNum>
  <w:abstractNum w:abstractNumId="13">
    <w:nsid w:val="FFFFFF81"/>
    <w:multiLevelType w:val="singleLevel"/>
    <w:tmpl w:val="FFFFFF81"/>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4">
    <w:nsid w:val="FFFFFF82"/>
    <w:multiLevelType w:val="singleLevel"/>
    <w:tmpl w:val="FFFFFF82"/>
    <w:lvl w:ilvl="0" w:tentative="0">
      <w:start w:val="1"/>
      <w:numFmt w:val="bullet"/>
      <w:pStyle w:val="28"/>
      <w:lvlText w:val=""/>
      <w:lvlJc w:val="left"/>
      <w:pPr>
        <w:tabs>
          <w:tab w:val="left" w:pos="1200"/>
        </w:tabs>
        <w:ind w:left="1200" w:hanging="360"/>
      </w:pPr>
      <w:rPr>
        <w:rFonts w:hint="default" w:ascii="Wingdings" w:hAnsi="Wingdings"/>
      </w:rPr>
    </w:lvl>
  </w:abstractNum>
  <w:abstractNum w:abstractNumId="15">
    <w:nsid w:val="FFFFFF83"/>
    <w:multiLevelType w:val="singleLevel"/>
    <w:tmpl w:val="FFFFFF83"/>
    <w:lvl w:ilvl="0" w:tentative="0">
      <w:start w:val="1"/>
      <w:numFmt w:val="bullet"/>
      <w:pStyle w:val="34"/>
      <w:lvlText w:val=""/>
      <w:lvlJc w:val="left"/>
      <w:pPr>
        <w:tabs>
          <w:tab w:val="left" w:pos="780"/>
        </w:tabs>
        <w:ind w:left="780" w:hanging="360"/>
      </w:pPr>
      <w:rPr>
        <w:rFonts w:hint="default" w:ascii="Wingdings" w:hAnsi="Wingdings"/>
      </w:rPr>
    </w:lvl>
  </w:abstractNum>
  <w:abstractNum w:abstractNumId="16">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17">
    <w:nsid w:val="FFFFFF89"/>
    <w:multiLevelType w:val="singleLevel"/>
    <w:tmpl w:val="FFFFFF89"/>
    <w:lvl w:ilvl="0" w:tentative="0">
      <w:start w:val="1"/>
      <w:numFmt w:val="bullet"/>
      <w:pStyle w:val="21"/>
      <w:lvlText w:val=""/>
      <w:lvlJc w:val="left"/>
      <w:pPr>
        <w:tabs>
          <w:tab w:val="left" w:pos="360"/>
        </w:tabs>
        <w:ind w:left="360" w:hanging="360"/>
      </w:pPr>
      <w:rPr>
        <w:rFonts w:hint="default" w:ascii="Wingdings" w:hAnsi="Wingdings"/>
      </w:rPr>
    </w:lvl>
  </w:abstractNum>
  <w:abstractNum w:abstractNumId="18">
    <w:nsid w:val="08C17518"/>
    <w:multiLevelType w:val="singleLevel"/>
    <w:tmpl w:val="08C17518"/>
    <w:lvl w:ilvl="0" w:tentative="0">
      <w:start w:val="1"/>
      <w:numFmt w:val="upperLetter"/>
      <w:pStyle w:val="20"/>
      <w:lvlText w:val="%1、"/>
      <w:lvlJc w:val="left"/>
      <w:pPr>
        <w:tabs>
          <w:tab w:val="left" w:pos="1050"/>
        </w:tabs>
        <w:ind w:left="1050" w:hanging="450"/>
      </w:pPr>
      <w:rPr>
        <w:rFonts w:hint="eastAsia"/>
      </w:rPr>
    </w:lvl>
  </w:abstractNum>
  <w:abstractNum w:abstractNumId="19">
    <w:nsid w:val="1231D063"/>
    <w:multiLevelType w:val="multilevel"/>
    <w:tmpl w:val="1231D063"/>
    <w:lvl w:ilvl="0" w:tentative="0">
      <w:start w:val="1"/>
      <w:numFmt w:val="chineseCountingThousand"/>
      <w:suff w:val="nothing"/>
      <w:lvlText w:val="%1、"/>
      <w:lvlJc w:val="left"/>
      <w:pPr>
        <w:ind w:left="840" w:hanging="420"/>
      </w:pPr>
      <w:rPr>
        <w:rFonts w:hint="eastAsia"/>
      </w:rPr>
    </w:lvl>
    <w:lvl w:ilvl="1" w:tentative="0">
      <w:start w:val="1"/>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20">
    <w:nsid w:val="18F0032A"/>
    <w:multiLevelType w:val="singleLevel"/>
    <w:tmpl w:val="18F0032A"/>
    <w:lvl w:ilvl="0" w:tentative="0">
      <w:start w:val="1"/>
      <w:numFmt w:val="decimal"/>
      <w:suff w:val="space"/>
      <w:lvlText w:val="%1."/>
      <w:lvlJc w:val="left"/>
      <w:pPr>
        <w:ind w:left="425" w:hanging="425"/>
      </w:pPr>
      <w:rPr>
        <w:rFonts w:hint="default"/>
      </w:rPr>
    </w:lvl>
  </w:abstractNum>
  <w:abstractNum w:abstractNumId="21">
    <w:nsid w:val="1ECA54A0"/>
    <w:multiLevelType w:val="singleLevel"/>
    <w:tmpl w:val="1ECA54A0"/>
    <w:lvl w:ilvl="0" w:tentative="0">
      <w:start w:val="1"/>
      <w:numFmt w:val="decimal"/>
      <w:suff w:val="space"/>
      <w:lvlText w:val="%1."/>
      <w:lvlJc w:val="left"/>
    </w:lvl>
  </w:abstractNum>
  <w:abstractNum w:abstractNumId="22">
    <w:nsid w:val="38B33602"/>
    <w:multiLevelType w:val="singleLevel"/>
    <w:tmpl w:val="38B33602"/>
    <w:lvl w:ilvl="0" w:tentative="0">
      <w:start w:val="1"/>
      <w:numFmt w:val="chineseCounting"/>
      <w:suff w:val="nothing"/>
      <w:lvlText w:val="（%1）"/>
      <w:lvlJc w:val="left"/>
      <w:pPr>
        <w:ind w:left="0" w:firstLine="420"/>
      </w:pPr>
      <w:rPr>
        <w:rFonts w:hint="eastAsia"/>
      </w:rPr>
    </w:lvl>
  </w:abstractNum>
  <w:abstractNum w:abstractNumId="23">
    <w:nsid w:val="3BACEA54"/>
    <w:multiLevelType w:val="multilevel"/>
    <w:tmpl w:val="3BACEA54"/>
    <w:lvl w:ilvl="0" w:tentative="0">
      <w:start w:val="1"/>
      <w:numFmt w:val="chineseCountingThousand"/>
      <w:suff w:val="nothing"/>
      <w:lvlText w:val="%1、"/>
      <w:lvlJc w:val="left"/>
      <w:pPr>
        <w:ind w:left="42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4">
    <w:nsid w:val="5DC93866"/>
    <w:multiLevelType w:val="singleLevel"/>
    <w:tmpl w:val="5DC93866"/>
    <w:lvl w:ilvl="0" w:tentative="0">
      <w:start w:val="1"/>
      <w:numFmt w:val="chineseCounting"/>
      <w:suff w:val="nothing"/>
      <w:lvlText w:val="（%1）"/>
      <w:lvlJc w:val="left"/>
      <w:pPr>
        <w:ind w:left="0" w:firstLine="420"/>
      </w:pPr>
      <w:rPr>
        <w:rFonts w:hint="eastAsia"/>
      </w:rPr>
    </w:lvl>
  </w:abstractNum>
  <w:abstractNum w:abstractNumId="25">
    <w:nsid w:val="6584816B"/>
    <w:multiLevelType w:val="multilevel"/>
    <w:tmpl w:val="6584816B"/>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6">
    <w:nsid w:val="681CCBE9"/>
    <w:multiLevelType w:val="singleLevel"/>
    <w:tmpl w:val="681CCBE9"/>
    <w:lvl w:ilvl="0" w:tentative="0">
      <w:start w:val="1"/>
      <w:numFmt w:val="chineseCounting"/>
      <w:suff w:val="nothing"/>
      <w:lvlText w:val="（%1）"/>
      <w:lvlJc w:val="left"/>
      <w:pPr>
        <w:ind w:left="0" w:firstLine="420"/>
      </w:pPr>
      <w:rPr>
        <w:rFonts w:hint="eastAsia"/>
      </w:rPr>
    </w:lvl>
  </w:abstractNum>
  <w:abstractNum w:abstractNumId="27">
    <w:nsid w:val="6F9C39D4"/>
    <w:multiLevelType w:val="singleLevel"/>
    <w:tmpl w:val="6F9C39D4"/>
    <w:lvl w:ilvl="0" w:tentative="0">
      <w:start w:val="1"/>
      <w:numFmt w:val="decimal"/>
      <w:suff w:val="space"/>
      <w:lvlText w:val="%1."/>
      <w:lvlJc w:val="left"/>
      <w:pPr>
        <w:ind w:left="425" w:hanging="425"/>
      </w:pPr>
      <w:rPr>
        <w:rFonts w:hint="default"/>
      </w:rPr>
    </w:lvl>
  </w:abstractNum>
  <w:abstractNum w:abstractNumId="28">
    <w:nsid w:val="72B9C521"/>
    <w:multiLevelType w:val="singleLevel"/>
    <w:tmpl w:val="72B9C521"/>
    <w:lvl w:ilvl="0" w:tentative="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99"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iPriority="0" w:name="HTML Acronym"/>
    <w:lsdException w:qFormat="1" w:unhideWhenUsed="0" w:uiPriority="0" w:semiHidden="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qFormat="1" w:unhideWhenUsed="0" w:uiPriority="0" w:semiHidden="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527"/>
      <w:jc w:val="both"/>
    </w:pPr>
    <w:rPr>
      <w:rFonts w:ascii="Times New Roman" w:hAnsi="Times New Roman" w:eastAsia="楷体_GB2312" w:cs="Times New Roman"/>
      <w:kern w:val="2"/>
      <w:sz w:val="24"/>
      <w:lang w:val="en-US" w:eastAsia="zh-CN" w:bidi="ar-SA"/>
    </w:rPr>
  </w:style>
  <w:style w:type="paragraph" w:styleId="4">
    <w:name w:val="heading 1"/>
    <w:basedOn w:val="1"/>
    <w:next w:val="1"/>
    <w:qFormat/>
    <w:uiPriority w:val="0"/>
    <w:pPr>
      <w:adjustRightInd w:val="0"/>
      <w:spacing w:before="360" w:after="360" w:line="315" w:lineRule="atLeast"/>
      <w:jc w:val="left"/>
      <w:textAlignment w:val="baseline"/>
      <w:outlineLvl w:val="0"/>
    </w:pPr>
    <w:rPr>
      <w:rFonts w:ascii="宋体"/>
      <w:b/>
      <w:kern w:val="0"/>
      <w:sz w:val="60"/>
    </w:rPr>
  </w:style>
  <w:style w:type="paragraph" w:styleId="5">
    <w:name w:val="heading 2"/>
    <w:basedOn w:val="1"/>
    <w:next w:val="6"/>
    <w:qFormat/>
    <w:uiPriority w:val="0"/>
    <w:pPr>
      <w:adjustRightInd w:val="0"/>
      <w:spacing w:before="280" w:after="280" w:line="315" w:lineRule="atLeast"/>
      <w:jc w:val="left"/>
      <w:textAlignment w:val="baseline"/>
      <w:outlineLvl w:val="1"/>
    </w:pPr>
    <w:rPr>
      <w:rFonts w:ascii="黑体" w:hAnsi="Arial" w:eastAsia="黑体"/>
      <w:b/>
      <w:kern w:val="0"/>
      <w:sz w:val="32"/>
    </w:rPr>
  </w:style>
  <w:style w:type="paragraph" w:styleId="7">
    <w:name w:val="heading 3"/>
    <w:basedOn w:val="1"/>
    <w:next w:val="1"/>
    <w:qFormat/>
    <w:uiPriority w:val="0"/>
    <w:pPr>
      <w:keepNext/>
      <w:keepLines/>
      <w:adjustRightInd w:val="0"/>
      <w:ind w:firstLine="550"/>
      <w:textAlignment w:val="baseline"/>
      <w:outlineLvl w:val="2"/>
    </w:pPr>
    <w:rPr>
      <w:rFonts w:eastAsia="仿宋_GB2312"/>
    </w:rPr>
  </w:style>
  <w:style w:type="paragraph" w:styleId="8">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9">
    <w:name w:val="heading 5"/>
    <w:basedOn w:val="1"/>
    <w:next w:val="1"/>
    <w:qFormat/>
    <w:uiPriority w:val="0"/>
    <w:pPr>
      <w:keepNext/>
      <w:keepLines/>
      <w:spacing w:before="280" w:after="290" w:line="376" w:lineRule="auto"/>
      <w:outlineLvl w:val="4"/>
    </w:pPr>
    <w:rPr>
      <w:b/>
      <w:bCs/>
      <w:sz w:val="28"/>
      <w:szCs w:val="28"/>
    </w:rPr>
  </w:style>
  <w:style w:type="paragraph" w:styleId="10">
    <w:name w:val="heading 6"/>
    <w:basedOn w:val="1"/>
    <w:next w:val="1"/>
    <w:qFormat/>
    <w:uiPriority w:val="0"/>
    <w:pPr>
      <w:keepNext/>
      <w:keepLines/>
      <w:spacing w:before="240" w:after="64" w:line="320" w:lineRule="auto"/>
      <w:outlineLvl w:val="5"/>
    </w:pPr>
    <w:rPr>
      <w:rFonts w:ascii="Arial" w:hAnsi="Arial" w:eastAsia="黑体"/>
      <w:b/>
      <w:bCs/>
      <w:szCs w:val="24"/>
    </w:rPr>
  </w:style>
  <w:style w:type="paragraph" w:styleId="11">
    <w:name w:val="heading 7"/>
    <w:basedOn w:val="1"/>
    <w:next w:val="1"/>
    <w:qFormat/>
    <w:uiPriority w:val="0"/>
    <w:pPr>
      <w:keepNext/>
      <w:keepLines/>
      <w:spacing w:before="240" w:after="64" w:line="320" w:lineRule="auto"/>
      <w:outlineLvl w:val="6"/>
    </w:pPr>
    <w:rPr>
      <w:b/>
      <w:bCs/>
      <w:szCs w:val="24"/>
    </w:rPr>
  </w:style>
  <w:style w:type="paragraph" w:styleId="12">
    <w:name w:val="heading 8"/>
    <w:basedOn w:val="1"/>
    <w:next w:val="1"/>
    <w:qFormat/>
    <w:uiPriority w:val="0"/>
    <w:pPr>
      <w:keepNext/>
      <w:keepLines/>
      <w:spacing w:before="240" w:after="64" w:line="320" w:lineRule="auto"/>
      <w:outlineLvl w:val="7"/>
    </w:pPr>
    <w:rPr>
      <w:rFonts w:ascii="Arial" w:hAnsi="Arial" w:eastAsia="黑体"/>
      <w:szCs w:val="24"/>
    </w:rPr>
  </w:style>
  <w:style w:type="paragraph" w:styleId="13">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70">
    <w:name w:val="Default Paragraph Font"/>
    <w:unhideWhenUsed/>
    <w:qFormat/>
    <w:uiPriority w:val="1"/>
  </w:style>
  <w:style w:type="table" w:default="1" w:styleId="6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1"/>
    <w:link w:val="110"/>
    <w:qFormat/>
    <w:uiPriority w:val="0"/>
    <w:pPr>
      <w:tabs>
        <w:tab w:val="left" w:pos="0"/>
      </w:tabs>
      <w:spacing w:after="120"/>
      <w:ind w:left="420" w:leftChars="200" w:right="0" w:firstLine="420" w:firstLineChars="200"/>
    </w:pPr>
    <w:rPr>
      <w:rFonts w:ascii="Times New Roman" w:eastAsia="楷体_GB2312"/>
      <w:sz w:val="24"/>
    </w:rPr>
  </w:style>
  <w:style w:type="paragraph" w:styleId="3">
    <w:name w:val="Body Text Indent"/>
    <w:basedOn w:val="1"/>
    <w:link w:val="88"/>
    <w:qFormat/>
    <w:uiPriority w:val="0"/>
    <w:pPr>
      <w:tabs>
        <w:tab w:val="left" w:pos="0"/>
      </w:tabs>
      <w:ind w:right="113" w:firstLine="567"/>
    </w:pPr>
    <w:rPr>
      <w:rFonts w:ascii="仿宋_GB2312" w:eastAsia="仿宋_GB2312"/>
      <w:sz w:val="28"/>
    </w:rPr>
  </w:style>
  <w:style w:type="paragraph" w:styleId="6">
    <w:name w:val="Normal Indent"/>
    <w:basedOn w:val="1"/>
    <w:link w:val="86"/>
    <w:qFormat/>
    <w:uiPriority w:val="0"/>
    <w:pPr>
      <w:adjustRightInd w:val="0"/>
      <w:spacing w:line="315" w:lineRule="atLeast"/>
      <w:ind w:firstLine="420"/>
      <w:jc w:val="left"/>
      <w:textAlignment w:val="baseline"/>
    </w:pPr>
    <w:rPr>
      <w:rFonts w:ascii="宋体"/>
      <w:kern w:val="0"/>
    </w:rPr>
  </w:style>
  <w:style w:type="paragraph" w:styleId="14">
    <w:name w:val="List 3"/>
    <w:basedOn w:val="1"/>
    <w:qFormat/>
    <w:uiPriority w:val="0"/>
    <w:pPr>
      <w:ind w:left="100" w:leftChars="400" w:hanging="200" w:hangingChars="200"/>
    </w:pPr>
  </w:style>
  <w:style w:type="paragraph" w:styleId="15">
    <w:name w:val="List Number 2"/>
    <w:basedOn w:val="1"/>
    <w:qFormat/>
    <w:uiPriority w:val="0"/>
    <w:pPr>
      <w:numPr>
        <w:ilvl w:val="0"/>
        <w:numId w:val="1"/>
      </w:numPr>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2"/>
      </w:numPr>
    </w:pPr>
  </w:style>
  <w:style w:type="paragraph" w:styleId="18">
    <w:name w:val="E-mail Signature"/>
    <w:basedOn w:val="1"/>
    <w:qFormat/>
    <w:uiPriority w:val="0"/>
  </w:style>
  <w:style w:type="paragraph" w:styleId="19">
    <w:name w:val="List Number"/>
    <w:basedOn w:val="1"/>
    <w:qFormat/>
    <w:uiPriority w:val="0"/>
    <w:pPr>
      <w:numPr>
        <w:ilvl w:val="0"/>
        <w:numId w:val="3"/>
      </w:numPr>
    </w:pPr>
  </w:style>
  <w:style w:type="paragraph" w:styleId="20">
    <w:name w:val="caption"/>
    <w:basedOn w:val="1"/>
    <w:next w:val="1"/>
    <w:qFormat/>
    <w:uiPriority w:val="0"/>
    <w:pPr>
      <w:widowControl/>
      <w:numPr>
        <w:ilvl w:val="0"/>
        <w:numId w:val="4"/>
      </w:numPr>
      <w:tabs>
        <w:tab w:val="left" w:pos="7655"/>
        <w:tab w:val="left" w:pos="8280"/>
      </w:tabs>
      <w:autoSpaceDE w:val="0"/>
      <w:autoSpaceDN w:val="0"/>
      <w:textAlignment w:val="bottom"/>
    </w:pPr>
    <w:rPr>
      <w:rFonts w:ascii="仿宋_GB2312" w:eastAsia="仿宋_GB2312"/>
      <w:spacing w:val="10"/>
      <w:sz w:val="28"/>
    </w:rPr>
  </w:style>
  <w:style w:type="paragraph" w:styleId="21">
    <w:name w:val="List Bullet"/>
    <w:basedOn w:val="1"/>
    <w:qFormat/>
    <w:uiPriority w:val="0"/>
    <w:pPr>
      <w:numPr>
        <w:ilvl w:val="0"/>
        <w:numId w:val="5"/>
      </w:numPr>
    </w:pPr>
  </w:style>
  <w:style w:type="paragraph" w:styleId="22">
    <w:name w:val="envelope address"/>
    <w:basedOn w:val="1"/>
    <w:qFormat/>
    <w:uiPriority w:val="0"/>
    <w:pPr>
      <w:framePr w:w="7920" w:h="1980" w:hRule="exact" w:hSpace="180" w:wrap="around" w:vAnchor="margin" w:hAnchor="page" w:xAlign="center" w:yAlign="bottom"/>
      <w:snapToGrid w:val="0"/>
      <w:ind w:left="100" w:leftChars="1400"/>
    </w:pPr>
    <w:rPr>
      <w:rFonts w:ascii="Arial" w:hAnsi="Arial" w:cs="Arial"/>
      <w:szCs w:val="24"/>
    </w:rPr>
  </w:style>
  <w:style w:type="paragraph" w:styleId="23">
    <w:name w:val="Document Map"/>
    <w:basedOn w:val="1"/>
    <w:link w:val="82"/>
    <w:qFormat/>
    <w:uiPriority w:val="0"/>
    <w:rPr>
      <w:rFonts w:ascii="宋体" w:eastAsia="宋体"/>
      <w:sz w:val="18"/>
      <w:szCs w:val="18"/>
    </w:rPr>
  </w:style>
  <w:style w:type="paragraph" w:styleId="24">
    <w:name w:val="annotation text"/>
    <w:basedOn w:val="1"/>
    <w:link w:val="85"/>
    <w:qFormat/>
    <w:uiPriority w:val="0"/>
    <w:pPr>
      <w:jc w:val="left"/>
    </w:pPr>
  </w:style>
  <w:style w:type="paragraph" w:styleId="25">
    <w:name w:val="Salutation"/>
    <w:basedOn w:val="1"/>
    <w:next w:val="1"/>
    <w:qFormat/>
    <w:uiPriority w:val="0"/>
  </w:style>
  <w:style w:type="paragraph" w:styleId="26">
    <w:name w:val="Body Text 3"/>
    <w:basedOn w:val="1"/>
    <w:qFormat/>
    <w:uiPriority w:val="0"/>
    <w:pPr>
      <w:adjustRightInd w:val="0"/>
      <w:spacing w:line="312" w:lineRule="atLeast"/>
      <w:textAlignment w:val="baseline"/>
    </w:pPr>
    <w:rPr>
      <w:rFonts w:ascii="宋体"/>
      <w:spacing w:val="10"/>
      <w:kern w:val="0"/>
      <w:sz w:val="32"/>
    </w:rPr>
  </w:style>
  <w:style w:type="paragraph" w:styleId="27">
    <w:name w:val="Closing"/>
    <w:basedOn w:val="1"/>
    <w:qFormat/>
    <w:uiPriority w:val="0"/>
    <w:pPr>
      <w:ind w:left="100" w:leftChars="2100"/>
    </w:pPr>
  </w:style>
  <w:style w:type="paragraph" w:styleId="28">
    <w:name w:val="List Bullet 3"/>
    <w:basedOn w:val="1"/>
    <w:qFormat/>
    <w:uiPriority w:val="0"/>
    <w:pPr>
      <w:numPr>
        <w:ilvl w:val="0"/>
        <w:numId w:val="6"/>
      </w:numPr>
    </w:pPr>
  </w:style>
  <w:style w:type="paragraph" w:styleId="29">
    <w:name w:val="Body Text"/>
    <w:basedOn w:val="1"/>
    <w:qFormat/>
    <w:uiPriority w:val="0"/>
    <w:pPr>
      <w:tabs>
        <w:tab w:val="left" w:pos="0"/>
      </w:tabs>
      <w:spacing w:after="120"/>
      <w:jc w:val="center"/>
    </w:pPr>
    <w:rPr>
      <w:rFonts w:ascii="仿宋_GB2312" w:eastAsia="仿宋_GB2312"/>
      <w:spacing w:val="10"/>
    </w:rPr>
  </w:style>
  <w:style w:type="paragraph" w:styleId="30">
    <w:name w:val="List Number 3"/>
    <w:basedOn w:val="1"/>
    <w:qFormat/>
    <w:uiPriority w:val="0"/>
    <w:pPr>
      <w:numPr>
        <w:ilvl w:val="0"/>
        <w:numId w:val="7"/>
      </w:numPr>
    </w:pPr>
  </w:style>
  <w:style w:type="paragraph" w:styleId="31">
    <w:name w:val="List 2"/>
    <w:basedOn w:val="1"/>
    <w:qFormat/>
    <w:uiPriority w:val="0"/>
    <w:pPr>
      <w:ind w:left="100" w:leftChars="200" w:hanging="200" w:hangingChars="200"/>
    </w:pPr>
  </w:style>
  <w:style w:type="paragraph" w:styleId="32">
    <w:name w:val="List Continue"/>
    <w:basedOn w:val="1"/>
    <w:qFormat/>
    <w:uiPriority w:val="0"/>
    <w:pPr>
      <w:spacing w:after="120"/>
      <w:ind w:left="420" w:leftChars="200"/>
    </w:pPr>
  </w:style>
  <w:style w:type="paragraph" w:styleId="33">
    <w:name w:val="Block Text"/>
    <w:basedOn w:val="1"/>
    <w:qFormat/>
    <w:uiPriority w:val="0"/>
    <w:pPr>
      <w:ind w:left="420" w:right="198"/>
    </w:pPr>
    <w:rPr>
      <w:rFonts w:ascii="仿宋_GB2312" w:eastAsia="仿宋_GB2312"/>
      <w:sz w:val="28"/>
    </w:rPr>
  </w:style>
  <w:style w:type="paragraph" w:styleId="34">
    <w:name w:val="List Bullet 2"/>
    <w:basedOn w:val="1"/>
    <w:qFormat/>
    <w:uiPriority w:val="0"/>
    <w:pPr>
      <w:numPr>
        <w:ilvl w:val="0"/>
        <w:numId w:val="8"/>
      </w:numPr>
    </w:pPr>
  </w:style>
  <w:style w:type="paragraph" w:styleId="35">
    <w:name w:val="HTML Address"/>
    <w:basedOn w:val="1"/>
    <w:qFormat/>
    <w:uiPriority w:val="0"/>
    <w:rPr>
      <w:i/>
      <w:iCs/>
    </w:rPr>
  </w:style>
  <w:style w:type="paragraph" w:styleId="36">
    <w:name w:val="Plain Text"/>
    <w:basedOn w:val="1"/>
    <w:qFormat/>
    <w:uiPriority w:val="0"/>
    <w:rPr>
      <w:rFonts w:ascii="宋体" w:hAnsi="Courier New"/>
    </w:rPr>
  </w:style>
  <w:style w:type="paragraph" w:styleId="37">
    <w:name w:val="List Bullet 5"/>
    <w:basedOn w:val="1"/>
    <w:qFormat/>
    <w:uiPriority w:val="0"/>
    <w:pPr>
      <w:numPr>
        <w:ilvl w:val="0"/>
        <w:numId w:val="9"/>
      </w:numPr>
    </w:pPr>
  </w:style>
  <w:style w:type="paragraph" w:styleId="38">
    <w:name w:val="List Number 4"/>
    <w:basedOn w:val="1"/>
    <w:qFormat/>
    <w:uiPriority w:val="0"/>
    <w:pPr>
      <w:numPr>
        <w:ilvl w:val="0"/>
        <w:numId w:val="10"/>
      </w:numPr>
    </w:pPr>
  </w:style>
  <w:style w:type="paragraph" w:styleId="39">
    <w:name w:val="Date"/>
    <w:basedOn w:val="1"/>
    <w:next w:val="1"/>
    <w:qFormat/>
    <w:uiPriority w:val="99"/>
    <w:pPr>
      <w:adjustRightInd w:val="0"/>
      <w:spacing w:line="312" w:lineRule="atLeast"/>
      <w:textAlignment w:val="baseline"/>
    </w:pPr>
    <w:rPr>
      <w:rFonts w:ascii="宋体"/>
      <w:kern w:val="0"/>
      <w:sz w:val="28"/>
    </w:rPr>
  </w:style>
  <w:style w:type="paragraph" w:styleId="40">
    <w:name w:val="Body Text Indent 2"/>
    <w:basedOn w:val="1"/>
    <w:link w:val="84"/>
    <w:qFormat/>
    <w:uiPriority w:val="0"/>
    <w:pPr>
      <w:tabs>
        <w:tab w:val="left" w:pos="0"/>
      </w:tabs>
      <w:adjustRightInd w:val="0"/>
      <w:spacing w:after="120"/>
      <w:ind w:right="-297" w:firstLine="555"/>
      <w:textAlignment w:val="baseline"/>
    </w:pPr>
    <w:rPr>
      <w:rFonts w:ascii="宋体"/>
      <w:kern w:val="0"/>
      <w:sz w:val="28"/>
    </w:rPr>
  </w:style>
  <w:style w:type="paragraph" w:styleId="41">
    <w:name w:val="endnote text"/>
    <w:basedOn w:val="1"/>
    <w:link w:val="103"/>
    <w:qFormat/>
    <w:uiPriority w:val="0"/>
    <w:pPr>
      <w:snapToGrid w:val="0"/>
      <w:jc w:val="left"/>
    </w:pPr>
  </w:style>
  <w:style w:type="paragraph" w:styleId="42">
    <w:name w:val="List Continue 5"/>
    <w:basedOn w:val="1"/>
    <w:qFormat/>
    <w:uiPriority w:val="0"/>
    <w:pPr>
      <w:spacing w:after="120"/>
      <w:ind w:left="2100" w:leftChars="1000"/>
    </w:pPr>
  </w:style>
  <w:style w:type="paragraph" w:styleId="43">
    <w:name w:val="Balloon Text"/>
    <w:basedOn w:val="1"/>
    <w:link w:val="79"/>
    <w:qFormat/>
    <w:uiPriority w:val="0"/>
    <w:pPr>
      <w:spacing w:line="240" w:lineRule="auto"/>
    </w:pPr>
    <w:rPr>
      <w:sz w:val="18"/>
      <w:szCs w:val="18"/>
    </w:rPr>
  </w:style>
  <w:style w:type="paragraph" w:styleId="44">
    <w:name w:val="footer"/>
    <w:basedOn w:val="1"/>
    <w:qFormat/>
    <w:uiPriority w:val="0"/>
    <w:pPr>
      <w:tabs>
        <w:tab w:val="center" w:pos="4153"/>
        <w:tab w:val="right" w:pos="8306"/>
      </w:tabs>
      <w:snapToGrid w:val="0"/>
      <w:jc w:val="left"/>
    </w:pPr>
    <w:rPr>
      <w:sz w:val="18"/>
    </w:rPr>
  </w:style>
  <w:style w:type="paragraph" w:styleId="45">
    <w:name w:val="envelope return"/>
    <w:basedOn w:val="1"/>
    <w:qFormat/>
    <w:uiPriority w:val="0"/>
    <w:pPr>
      <w:snapToGrid w:val="0"/>
    </w:pPr>
    <w:rPr>
      <w:rFonts w:ascii="Arial" w:hAnsi="Arial" w:cs="Arial"/>
    </w:rPr>
  </w:style>
  <w:style w:type="paragraph" w:styleId="46">
    <w:name w:val="header"/>
    <w:basedOn w:val="1"/>
    <w:qFormat/>
    <w:uiPriority w:val="0"/>
    <w:pPr>
      <w:pBdr>
        <w:bottom w:val="single" w:color="auto" w:sz="6" w:space="1"/>
      </w:pBdr>
      <w:tabs>
        <w:tab w:val="center" w:pos="4320"/>
        <w:tab w:val="right" w:pos="8640"/>
      </w:tabs>
      <w:adjustRightInd w:val="0"/>
      <w:spacing w:line="240" w:lineRule="atLeast"/>
      <w:jc w:val="center"/>
      <w:textAlignment w:val="baseline"/>
    </w:pPr>
    <w:rPr>
      <w:rFonts w:ascii="宋体"/>
      <w:kern w:val="0"/>
      <w:sz w:val="18"/>
    </w:rPr>
  </w:style>
  <w:style w:type="paragraph" w:styleId="47">
    <w:name w:val="Signature"/>
    <w:basedOn w:val="1"/>
    <w:qFormat/>
    <w:uiPriority w:val="0"/>
    <w:pPr>
      <w:ind w:left="100" w:leftChars="2100"/>
    </w:pPr>
  </w:style>
  <w:style w:type="paragraph" w:styleId="48">
    <w:name w:val="toc 1"/>
    <w:basedOn w:val="1"/>
    <w:next w:val="1"/>
    <w:qFormat/>
    <w:uiPriority w:val="39"/>
    <w:pPr>
      <w:tabs>
        <w:tab w:val="right" w:leader="dot" w:pos="8505"/>
      </w:tabs>
      <w:spacing w:before="120" w:after="120"/>
      <w:ind w:firstLine="0"/>
      <w:jc w:val="center"/>
    </w:pPr>
    <w:rPr>
      <w:rFonts w:ascii="仿宋" w:hAnsi="仿宋" w:eastAsia="仿宋"/>
      <w:b/>
      <w:bCs/>
      <w:szCs w:val="24"/>
    </w:rPr>
  </w:style>
  <w:style w:type="paragraph" w:styleId="49">
    <w:name w:val="List Continue 4"/>
    <w:basedOn w:val="1"/>
    <w:qFormat/>
    <w:uiPriority w:val="0"/>
    <w:pPr>
      <w:spacing w:after="120"/>
      <w:ind w:left="1680" w:leftChars="800"/>
    </w:pPr>
  </w:style>
  <w:style w:type="paragraph" w:styleId="50">
    <w:name w:val="Subtitle"/>
    <w:basedOn w:val="1"/>
    <w:qFormat/>
    <w:uiPriority w:val="0"/>
    <w:pPr>
      <w:spacing w:before="240" w:after="60" w:line="312" w:lineRule="auto"/>
      <w:jc w:val="center"/>
      <w:outlineLvl w:val="1"/>
    </w:pPr>
    <w:rPr>
      <w:rFonts w:ascii="Arial" w:hAnsi="Arial" w:eastAsia="宋体" w:cs="Arial"/>
      <w:b/>
      <w:bCs/>
      <w:kern w:val="28"/>
      <w:sz w:val="32"/>
      <w:szCs w:val="32"/>
    </w:rPr>
  </w:style>
  <w:style w:type="paragraph" w:styleId="51">
    <w:name w:val="List Number 5"/>
    <w:basedOn w:val="1"/>
    <w:qFormat/>
    <w:uiPriority w:val="0"/>
    <w:pPr>
      <w:numPr>
        <w:ilvl w:val="0"/>
        <w:numId w:val="11"/>
      </w:numPr>
    </w:pPr>
  </w:style>
  <w:style w:type="paragraph" w:styleId="52">
    <w:name w:val="List"/>
    <w:basedOn w:val="1"/>
    <w:qFormat/>
    <w:uiPriority w:val="0"/>
    <w:pPr>
      <w:ind w:left="200" w:hanging="200" w:hangingChars="200"/>
    </w:pPr>
  </w:style>
  <w:style w:type="paragraph" w:styleId="53">
    <w:name w:val="List 5"/>
    <w:basedOn w:val="1"/>
    <w:qFormat/>
    <w:uiPriority w:val="0"/>
    <w:pPr>
      <w:ind w:left="100" w:leftChars="800" w:hanging="200" w:hangingChars="200"/>
    </w:pPr>
  </w:style>
  <w:style w:type="paragraph" w:styleId="54">
    <w:name w:val="Body Text Indent 3"/>
    <w:basedOn w:val="1"/>
    <w:link w:val="87"/>
    <w:qFormat/>
    <w:uiPriority w:val="0"/>
    <w:pPr>
      <w:adjustRightInd w:val="0"/>
      <w:ind w:firstLine="425"/>
      <w:textAlignment w:val="baseline"/>
    </w:pPr>
    <w:rPr>
      <w:rFonts w:ascii="仿宋_GB2312" w:eastAsia="仿宋_GB2312"/>
      <w:kern w:val="0"/>
      <w:sz w:val="28"/>
    </w:rPr>
  </w:style>
  <w:style w:type="paragraph" w:styleId="55">
    <w:name w:val="toc 2"/>
    <w:basedOn w:val="1"/>
    <w:next w:val="1"/>
    <w:qFormat/>
    <w:uiPriority w:val="39"/>
    <w:pPr>
      <w:tabs>
        <w:tab w:val="left" w:pos="1050"/>
        <w:tab w:val="right" w:leader="dot" w:pos="8505"/>
      </w:tabs>
      <w:spacing w:after="120"/>
    </w:pPr>
    <w:rPr>
      <w:rFonts w:eastAsia="仿宋_GB2312"/>
    </w:rPr>
  </w:style>
  <w:style w:type="paragraph" w:styleId="56">
    <w:name w:val="Body Text 2"/>
    <w:basedOn w:val="1"/>
    <w:qFormat/>
    <w:uiPriority w:val="0"/>
    <w:pPr>
      <w:ind w:firstLine="0"/>
    </w:pPr>
    <w:rPr>
      <w:rFonts w:eastAsia="仿宋_GB2312"/>
      <w:b/>
      <w:spacing w:val="10"/>
    </w:rPr>
  </w:style>
  <w:style w:type="paragraph" w:styleId="57">
    <w:name w:val="List 4"/>
    <w:basedOn w:val="1"/>
    <w:qFormat/>
    <w:uiPriority w:val="0"/>
    <w:pPr>
      <w:ind w:left="100" w:leftChars="600" w:hanging="200" w:hangingChars="200"/>
    </w:pPr>
  </w:style>
  <w:style w:type="paragraph" w:styleId="58">
    <w:name w:val="List Continue 2"/>
    <w:basedOn w:val="1"/>
    <w:qFormat/>
    <w:uiPriority w:val="0"/>
    <w:pPr>
      <w:spacing w:after="120"/>
      <w:ind w:left="840" w:leftChars="400"/>
    </w:pPr>
  </w:style>
  <w:style w:type="paragraph" w:styleId="5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Cs w:val="24"/>
    </w:rPr>
  </w:style>
  <w:style w:type="paragraph" w:styleId="60">
    <w:name w:val="HTML Preformatted"/>
    <w:basedOn w:val="1"/>
    <w:qFormat/>
    <w:uiPriority w:val="0"/>
    <w:rPr>
      <w:rFonts w:ascii="Courier New" w:hAnsi="Courier New" w:cs="Courier New"/>
      <w:sz w:val="20"/>
    </w:rPr>
  </w:style>
  <w:style w:type="paragraph" w:styleId="61">
    <w:name w:val="Normal (Web)"/>
    <w:basedOn w:val="1"/>
    <w:qFormat/>
    <w:uiPriority w:val="0"/>
    <w:pPr>
      <w:widowControl/>
      <w:spacing w:before="100" w:after="100"/>
      <w:jc w:val="left"/>
    </w:pPr>
    <w:rPr>
      <w:rFonts w:hint="eastAsia" w:ascii="宋体" w:hAnsi="宋体"/>
      <w:kern w:val="0"/>
    </w:rPr>
  </w:style>
  <w:style w:type="paragraph" w:styleId="62">
    <w:name w:val="List Continue 3"/>
    <w:basedOn w:val="1"/>
    <w:qFormat/>
    <w:uiPriority w:val="0"/>
    <w:pPr>
      <w:spacing w:after="120"/>
      <w:ind w:left="1260" w:leftChars="600"/>
    </w:pPr>
  </w:style>
  <w:style w:type="paragraph" w:styleId="63">
    <w:name w:val="index 1"/>
    <w:basedOn w:val="1"/>
    <w:next w:val="1"/>
    <w:semiHidden/>
    <w:qFormat/>
    <w:uiPriority w:val="0"/>
    <w:pPr>
      <w:ind w:firstLine="0"/>
    </w:pPr>
  </w:style>
  <w:style w:type="paragraph" w:styleId="64">
    <w:name w:val="Title"/>
    <w:basedOn w:val="1"/>
    <w:qFormat/>
    <w:uiPriority w:val="0"/>
    <w:pPr>
      <w:spacing w:before="240" w:after="60"/>
      <w:jc w:val="center"/>
      <w:outlineLvl w:val="0"/>
    </w:pPr>
    <w:rPr>
      <w:rFonts w:ascii="Arial" w:hAnsi="Arial" w:eastAsia="宋体" w:cs="Arial"/>
      <w:b/>
      <w:bCs/>
      <w:sz w:val="32"/>
      <w:szCs w:val="32"/>
    </w:rPr>
  </w:style>
  <w:style w:type="paragraph" w:styleId="65">
    <w:name w:val="annotation subject"/>
    <w:basedOn w:val="24"/>
    <w:next w:val="24"/>
    <w:link w:val="83"/>
    <w:qFormat/>
    <w:uiPriority w:val="0"/>
    <w:rPr>
      <w:b/>
      <w:bCs/>
    </w:rPr>
  </w:style>
  <w:style w:type="paragraph" w:styleId="66">
    <w:name w:val="Body Text First Indent"/>
    <w:basedOn w:val="29"/>
    <w:qFormat/>
    <w:uiPriority w:val="0"/>
    <w:pPr>
      <w:ind w:firstLine="420" w:firstLineChars="100"/>
      <w:jc w:val="both"/>
    </w:pPr>
    <w:rPr>
      <w:rFonts w:ascii="Times New Roman" w:eastAsia="楷体_GB2312"/>
      <w:spacing w:val="0"/>
    </w:rPr>
  </w:style>
  <w:style w:type="table" w:styleId="68">
    <w:name w:val="Table Grid"/>
    <w:basedOn w:val="67"/>
    <w:qFormat/>
    <w:uiPriority w:val="0"/>
    <w:pPr>
      <w:widowControl w:val="0"/>
      <w:spacing w:line="360" w:lineRule="auto"/>
      <w:ind w:firstLine="52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9">
    <w:name w:val="Table Simple 1"/>
    <w:basedOn w:val="67"/>
    <w:qFormat/>
    <w:uiPriority w:val="0"/>
    <w:pPr>
      <w:widowControl w:val="0"/>
      <w:spacing w:line="360" w:lineRule="auto"/>
      <w:ind w:firstLine="527"/>
      <w:jc w:val="both"/>
    </w:pPr>
    <w:tblPr>
      <w:tblBorders>
        <w:top w:val="single" w:color="008000" w:sz="12" w:space="0"/>
        <w:bottom w:val="single" w:color="008000" w:sz="12" w:space="0"/>
      </w:tblBorders>
    </w:tblPr>
    <w:tcPr>
      <w:shd w:val="clear" w:color="auto" w:fill="auto"/>
    </w:tcPr>
    <w:tblStylePr w:type="firstRow">
      <w:tblPr/>
      <w:tcPr>
        <w:tcBorders>
          <w:top w:val="nil"/>
          <w:left w:val="nil"/>
          <w:bottom w:val="single" w:color="008000" w:sz="6" w:space="0"/>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71">
    <w:name w:val="Strong"/>
    <w:qFormat/>
    <w:uiPriority w:val="0"/>
    <w:rPr>
      <w:b/>
      <w:bCs/>
    </w:rPr>
  </w:style>
  <w:style w:type="character" w:styleId="72">
    <w:name w:val="endnote reference"/>
    <w:basedOn w:val="70"/>
    <w:qFormat/>
    <w:uiPriority w:val="0"/>
    <w:rPr>
      <w:vertAlign w:val="superscript"/>
    </w:rPr>
  </w:style>
  <w:style w:type="character" w:styleId="73">
    <w:name w:val="page number"/>
    <w:basedOn w:val="70"/>
    <w:qFormat/>
    <w:uiPriority w:val="0"/>
  </w:style>
  <w:style w:type="character" w:styleId="74">
    <w:name w:val="FollowedHyperlink"/>
    <w:qFormat/>
    <w:uiPriority w:val="0"/>
    <w:rPr>
      <w:color w:val="800080"/>
      <w:u w:val="single"/>
    </w:rPr>
  </w:style>
  <w:style w:type="character" w:styleId="75">
    <w:name w:val="Hyperlink"/>
    <w:qFormat/>
    <w:uiPriority w:val="99"/>
    <w:rPr>
      <w:color w:val="0000FF"/>
      <w:u w:val="single"/>
    </w:rPr>
  </w:style>
  <w:style w:type="character" w:styleId="76">
    <w:name w:val="annotation reference"/>
    <w:qFormat/>
    <w:uiPriority w:val="0"/>
    <w:rPr>
      <w:sz w:val="21"/>
    </w:rPr>
  </w:style>
  <w:style w:type="character" w:customStyle="1" w:styleId="77">
    <w:name w:val="unnamed5"/>
    <w:basedOn w:val="70"/>
    <w:qFormat/>
    <w:uiPriority w:val="0"/>
  </w:style>
  <w:style w:type="character" w:customStyle="1" w:styleId="78">
    <w:name w:val="content1"/>
    <w:qFormat/>
    <w:uiPriority w:val="0"/>
    <w:rPr>
      <w:rFonts w:hint="default" w:ascii="Arial" w:hAnsi="Arial" w:cs="Arial"/>
      <w:sz w:val="21"/>
      <w:szCs w:val="21"/>
    </w:rPr>
  </w:style>
  <w:style w:type="character" w:customStyle="1" w:styleId="79">
    <w:name w:val="批注框文本 字符"/>
    <w:link w:val="43"/>
    <w:qFormat/>
    <w:uiPriority w:val="0"/>
    <w:rPr>
      <w:rFonts w:eastAsia="楷体_GB2312"/>
      <w:kern w:val="2"/>
      <w:sz w:val="18"/>
      <w:szCs w:val="18"/>
    </w:rPr>
  </w:style>
  <w:style w:type="character" w:customStyle="1" w:styleId="80">
    <w:name w:val="zw Char"/>
    <w:link w:val="81"/>
    <w:qFormat/>
    <w:uiPriority w:val="0"/>
    <w:rPr>
      <w:rFonts w:ascii="Arial Narrow" w:hAnsi="Arial Narrow" w:eastAsia="楷体_GB2312"/>
      <w:sz w:val="24"/>
    </w:rPr>
  </w:style>
  <w:style w:type="paragraph" w:customStyle="1" w:styleId="81">
    <w:name w:val="zw"/>
    <w:basedOn w:val="1"/>
    <w:link w:val="80"/>
    <w:qFormat/>
    <w:uiPriority w:val="0"/>
    <w:pPr>
      <w:adjustRightInd w:val="0"/>
      <w:ind w:firstLine="482"/>
      <w:textAlignment w:val="baseline"/>
    </w:pPr>
    <w:rPr>
      <w:rFonts w:ascii="Arial Narrow" w:hAnsi="Arial Narrow"/>
      <w:kern w:val="0"/>
    </w:rPr>
  </w:style>
  <w:style w:type="character" w:customStyle="1" w:styleId="82">
    <w:name w:val="文档结构图 字符"/>
    <w:link w:val="23"/>
    <w:qFormat/>
    <w:uiPriority w:val="0"/>
    <w:rPr>
      <w:rFonts w:ascii="宋体"/>
      <w:kern w:val="2"/>
      <w:sz w:val="18"/>
      <w:szCs w:val="18"/>
    </w:rPr>
  </w:style>
  <w:style w:type="character" w:customStyle="1" w:styleId="83">
    <w:name w:val="批注主题 字符"/>
    <w:link w:val="65"/>
    <w:qFormat/>
    <w:uiPriority w:val="0"/>
    <w:rPr>
      <w:rFonts w:eastAsia="楷体_GB2312"/>
      <w:b/>
      <w:bCs/>
      <w:kern w:val="2"/>
      <w:sz w:val="24"/>
    </w:rPr>
  </w:style>
  <w:style w:type="character" w:customStyle="1" w:styleId="84">
    <w:name w:val="正文文本缩进 2 字符"/>
    <w:link w:val="40"/>
    <w:qFormat/>
    <w:uiPriority w:val="0"/>
    <w:rPr>
      <w:rFonts w:ascii="宋体" w:eastAsia="楷体_GB2312"/>
      <w:sz w:val="28"/>
    </w:rPr>
  </w:style>
  <w:style w:type="character" w:customStyle="1" w:styleId="85">
    <w:name w:val="批注文字 字符"/>
    <w:link w:val="24"/>
    <w:qFormat/>
    <w:uiPriority w:val="0"/>
    <w:rPr>
      <w:rFonts w:eastAsia="楷体_GB2312"/>
      <w:kern w:val="2"/>
      <w:sz w:val="24"/>
    </w:rPr>
  </w:style>
  <w:style w:type="character" w:customStyle="1" w:styleId="86">
    <w:name w:val="正文缩进 字符"/>
    <w:link w:val="6"/>
    <w:qFormat/>
    <w:uiPriority w:val="0"/>
    <w:rPr>
      <w:rFonts w:ascii="宋体" w:eastAsia="楷体_GB2312"/>
      <w:sz w:val="24"/>
      <w:lang w:val="en-US" w:eastAsia="zh-CN" w:bidi="ar-SA"/>
    </w:rPr>
  </w:style>
  <w:style w:type="character" w:customStyle="1" w:styleId="87">
    <w:name w:val="正文文本缩进 3 字符"/>
    <w:link w:val="54"/>
    <w:qFormat/>
    <w:uiPriority w:val="0"/>
    <w:rPr>
      <w:rFonts w:ascii="仿宋_GB2312" w:eastAsia="仿宋_GB2312"/>
      <w:sz w:val="28"/>
    </w:rPr>
  </w:style>
  <w:style w:type="character" w:customStyle="1" w:styleId="88">
    <w:name w:val="正文文本缩进 字符"/>
    <w:link w:val="3"/>
    <w:qFormat/>
    <w:uiPriority w:val="0"/>
    <w:rPr>
      <w:rFonts w:ascii="仿宋_GB2312" w:eastAsia="仿宋_GB2312"/>
      <w:kern w:val="2"/>
      <w:sz w:val="28"/>
    </w:rPr>
  </w:style>
  <w:style w:type="paragraph" w:customStyle="1" w:styleId="89">
    <w:name w:val="正文文本缩进 31"/>
    <w:basedOn w:val="1"/>
    <w:qFormat/>
    <w:uiPriority w:val="0"/>
    <w:pPr>
      <w:adjustRightInd w:val="0"/>
      <w:ind w:firstLine="425"/>
      <w:jc w:val="left"/>
      <w:textAlignment w:val="baseline"/>
    </w:pPr>
    <w:rPr>
      <w:rFonts w:ascii="仿宋_GB2312" w:eastAsia="仿宋_GB2312"/>
      <w:kern w:val="0"/>
      <w:sz w:val="28"/>
    </w:rPr>
  </w:style>
  <w:style w:type="paragraph" w:customStyle="1" w:styleId="9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91">
    <w:name w:val="Char"/>
    <w:basedOn w:val="1"/>
    <w:qFormat/>
    <w:uiPriority w:val="0"/>
    <w:pPr>
      <w:spacing w:line="240" w:lineRule="auto"/>
      <w:ind w:firstLine="0"/>
    </w:pPr>
    <w:rPr>
      <w:rFonts w:ascii="Tahoma" w:hAnsi="Tahoma" w:eastAsia="宋体"/>
    </w:rPr>
  </w:style>
  <w:style w:type="paragraph" w:customStyle="1" w:styleId="92">
    <w:name w:val="Char4"/>
    <w:basedOn w:val="1"/>
    <w:qFormat/>
    <w:uiPriority w:val="0"/>
    <w:pPr>
      <w:spacing w:line="240" w:lineRule="auto"/>
      <w:ind w:firstLine="0"/>
    </w:pPr>
    <w:rPr>
      <w:rFonts w:ascii="Tahoma" w:hAnsi="Tahoma" w:eastAsia="宋体"/>
    </w:rPr>
  </w:style>
  <w:style w:type="paragraph" w:customStyle="1" w:styleId="93">
    <w:name w:val="正文文本 21"/>
    <w:basedOn w:val="1"/>
    <w:qFormat/>
    <w:uiPriority w:val="0"/>
    <w:pPr>
      <w:tabs>
        <w:tab w:val="left" w:pos="0"/>
      </w:tabs>
      <w:adjustRightInd w:val="0"/>
      <w:ind w:right="113" w:firstLine="567"/>
      <w:jc w:val="left"/>
      <w:textAlignment w:val="baseline"/>
    </w:pPr>
    <w:rPr>
      <w:rFonts w:ascii="仿宋_GB2312" w:eastAsia="仿宋_GB2312"/>
      <w:sz w:val="28"/>
    </w:rPr>
  </w:style>
  <w:style w:type="paragraph" w:customStyle="1" w:styleId="94">
    <w:name w:val="默认段落字体 Para Char Char Char Char Char Char Char"/>
    <w:basedOn w:val="1"/>
    <w:qFormat/>
    <w:uiPriority w:val="0"/>
    <w:pPr>
      <w:spacing w:line="240" w:lineRule="auto"/>
      <w:ind w:firstLine="0"/>
    </w:pPr>
    <w:rPr>
      <w:rFonts w:ascii="Tahoma" w:hAnsi="Tahoma" w:eastAsia="宋体"/>
    </w:rPr>
  </w:style>
  <w:style w:type="paragraph" w:customStyle="1" w:styleId="95">
    <w:name w:val="默认段落字体 Para Char"/>
    <w:basedOn w:val="1"/>
    <w:qFormat/>
    <w:uiPriority w:val="0"/>
    <w:pPr>
      <w:tabs>
        <w:tab w:val="left" w:pos="1125"/>
      </w:tabs>
      <w:spacing w:line="240" w:lineRule="auto"/>
      <w:ind w:left="1125" w:hanging="555"/>
    </w:pPr>
    <w:rPr>
      <w:rFonts w:eastAsia="宋体"/>
      <w:szCs w:val="24"/>
    </w:rPr>
  </w:style>
  <w:style w:type="paragraph" w:customStyle="1" w:styleId="96">
    <w:name w:val="正文文本缩进 21"/>
    <w:basedOn w:val="1"/>
    <w:qFormat/>
    <w:uiPriority w:val="0"/>
    <w:pPr>
      <w:tabs>
        <w:tab w:val="left" w:pos="0"/>
      </w:tabs>
      <w:adjustRightInd w:val="0"/>
      <w:spacing w:after="120"/>
      <w:ind w:right="-297" w:firstLine="555"/>
      <w:jc w:val="left"/>
      <w:textAlignment w:val="baseline"/>
    </w:pPr>
    <w:rPr>
      <w:rFonts w:ascii="宋体"/>
      <w:kern w:val="0"/>
      <w:sz w:val="28"/>
    </w:rPr>
  </w:style>
  <w:style w:type="paragraph" w:customStyle="1" w:styleId="97">
    <w:name w:val="样式1"/>
    <w:basedOn w:val="44"/>
    <w:qFormat/>
    <w:uiPriority w:val="0"/>
    <w:pPr>
      <w:pBdr>
        <w:top w:val="single" w:color="auto" w:sz="4" w:space="1"/>
      </w:pBdr>
      <w:ind w:right="360" w:firstLine="0"/>
    </w:pPr>
  </w:style>
  <w:style w:type="paragraph" w:customStyle="1" w:styleId="98">
    <w:name w:val="日期1"/>
    <w:basedOn w:val="1"/>
    <w:next w:val="1"/>
    <w:qFormat/>
    <w:uiPriority w:val="0"/>
    <w:pPr>
      <w:adjustRightInd w:val="0"/>
      <w:spacing w:line="312" w:lineRule="atLeast"/>
      <w:jc w:val="left"/>
      <w:textAlignment w:val="baseline"/>
    </w:pPr>
    <w:rPr>
      <w:rFonts w:ascii="宋体"/>
      <w:kern w:val="0"/>
      <w:sz w:val="28"/>
    </w:rPr>
  </w:style>
  <w:style w:type="paragraph" w:customStyle="1" w:styleId="99">
    <w:name w:val="1 Char"/>
    <w:basedOn w:val="1"/>
    <w:qFormat/>
    <w:uiPriority w:val="0"/>
    <w:pPr>
      <w:spacing w:line="240" w:lineRule="auto"/>
      <w:ind w:firstLine="0"/>
    </w:pPr>
    <w:rPr>
      <w:rFonts w:ascii="Tahoma" w:hAnsi="Tahoma" w:eastAsia="宋体"/>
    </w:rPr>
  </w:style>
  <w:style w:type="table" w:customStyle="1" w:styleId="100">
    <w:name w:val="网格型1"/>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
    <w:name w:val="网格型2"/>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2">
    <w:name w:val="List Paragraph"/>
    <w:basedOn w:val="1"/>
    <w:qFormat/>
    <w:uiPriority w:val="34"/>
    <w:pPr>
      <w:ind w:firstLine="420" w:firstLineChars="200"/>
    </w:pPr>
  </w:style>
  <w:style w:type="character" w:customStyle="1" w:styleId="103">
    <w:name w:val="尾注文本 字符"/>
    <w:basedOn w:val="70"/>
    <w:link w:val="41"/>
    <w:qFormat/>
    <w:uiPriority w:val="0"/>
    <w:rPr>
      <w:rFonts w:eastAsia="楷体_GB2312"/>
      <w:kern w:val="2"/>
      <w:sz w:val="24"/>
    </w:rPr>
  </w:style>
  <w:style w:type="character" w:customStyle="1" w:styleId="104">
    <w:name w:val="font81"/>
    <w:basedOn w:val="70"/>
    <w:qFormat/>
    <w:uiPriority w:val="0"/>
    <w:rPr>
      <w:rFonts w:hint="default" w:ascii="Times New Roman" w:hAnsi="Times New Roman" w:cs="Times New Roman"/>
      <w:color w:val="000000"/>
      <w:sz w:val="18"/>
      <w:szCs w:val="18"/>
      <w:u w:val="none"/>
    </w:rPr>
  </w:style>
  <w:style w:type="character" w:customStyle="1" w:styleId="105">
    <w:name w:val="font51"/>
    <w:basedOn w:val="70"/>
    <w:qFormat/>
    <w:uiPriority w:val="0"/>
    <w:rPr>
      <w:rFonts w:hint="eastAsia" w:ascii="宋体" w:hAnsi="宋体" w:eastAsia="宋体" w:cs="宋体"/>
      <w:color w:val="000000"/>
      <w:sz w:val="18"/>
      <w:szCs w:val="18"/>
      <w:u w:val="none"/>
    </w:rPr>
  </w:style>
  <w:style w:type="character" w:customStyle="1" w:styleId="106">
    <w:name w:val="font41"/>
    <w:basedOn w:val="70"/>
    <w:qFormat/>
    <w:uiPriority w:val="0"/>
    <w:rPr>
      <w:rFonts w:hint="eastAsia" w:ascii="宋体" w:hAnsi="宋体" w:eastAsia="宋体" w:cs="宋体"/>
      <w:color w:val="000000"/>
      <w:sz w:val="18"/>
      <w:szCs w:val="18"/>
      <w:u w:val="none"/>
    </w:rPr>
  </w:style>
  <w:style w:type="character" w:customStyle="1" w:styleId="107">
    <w:name w:val="font71"/>
    <w:basedOn w:val="70"/>
    <w:qFormat/>
    <w:uiPriority w:val="0"/>
    <w:rPr>
      <w:rFonts w:hint="default" w:ascii="Times New Roman" w:hAnsi="Times New Roman" w:cs="Times New Roman"/>
      <w:color w:val="000000"/>
      <w:sz w:val="18"/>
      <w:szCs w:val="18"/>
      <w:u w:val="none"/>
    </w:rPr>
  </w:style>
  <w:style w:type="character" w:customStyle="1" w:styleId="108">
    <w:name w:val="font11"/>
    <w:basedOn w:val="70"/>
    <w:qFormat/>
    <w:uiPriority w:val="0"/>
    <w:rPr>
      <w:rFonts w:hint="eastAsia" w:ascii="宋体" w:hAnsi="宋体" w:eastAsia="宋体" w:cs="宋体"/>
      <w:color w:val="000000"/>
      <w:sz w:val="18"/>
      <w:szCs w:val="18"/>
      <w:u w:val="none"/>
    </w:rPr>
  </w:style>
  <w:style w:type="character" w:customStyle="1" w:styleId="109">
    <w:name w:val="font31"/>
    <w:basedOn w:val="70"/>
    <w:qFormat/>
    <w:uiPriority w:val="0"/>
    <w:rPr>
      <w:rFonts w:hint="default" w:ascii="Times New Roman" w:hAnsi="Times New Roman" w:cs="Times New Roman"/>
      <w:color w:val="000000"/>
      <w:sz w:val="18"/>
      <w:szCs w:val="18"/>
      <w:u w:val="none"/>
    </w:rPr>
  </w:style>
  <w:style w:type="character" w:customStyle="1" w:styleId="110">
    <w:name w:val="正文文本首行缩进 2 字符"/>
    <w:link w:val="2"/>
    <w:qFormat/>
    <w:uiPriority w:val="0"/>
    <w:rPr>
      <w:rFonts w:hint="eastAsia" w:ascii="楷体_GB2312" w:eastAsia="楷体_GB2312" w:cs="楷体_GB2312"/>
      <w:kern w:val="2"/>
      <w:sz w:val="24"/>
    </w:rPr>
  </w:style>
  <w:style w:type="character" w:customStyle="1" w:styleId="111">
    <w:name w:val="font01"/>
    <w:basedOn w:val="70"/>
    <w:qFormat/>
    <w:uiPriority w:val="0"/>
    <w:rPr>
      <w:rFonts w:ascii="宋体" w:hAnsi="宋体" w:eastAsia="宋体" w:cs="宋体"/>
      <w:color w:val="000000"/>
      <w:sz w:val="24"/>
      <w:szCs w:val="24"/>
      <w:u w:val="none"/>
    </w:rPr>
  </w:style>
  <w:style w:type="paragraph" w:customStyle="1" w:styleId="112">
    <w:name w:val="立信附注正文 [2级]"/>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1"/>
      <w:lang w:val="en-US" w:eastAsia="zh-CN" w:bidi="ar-SA"/>
    </w:rPr>
  </w:style>
  <w:style w:type="character" w:customStyle="1" w:styleId="113">
    <w:name w:val="font21"/>
    <w:basedOn w:val="70"/>
    <w:qFormat/>
    <w:uiPriority w:val="0"/>
    <w:rPr>
      <w:rFonts w:hint="default" w:ascii="Times New Roman" w:hAnsi="Times New Roman" w:cs="Times New Roman"/>
      <w:color w:val="000000"/>
      <w:sz w:val="20"/>
      <w:szCs w:val="20"/>
      <w:u w:val="none"/>
    </w:rPr>
  </w:style>
  <w:style w:type="paragraph" w:customStyle="1" w:styleId="114">
    <w:name w:val="Table Text"/>
    <w:basedOn w:val="1"/>
    <w:semiHidden/>
    <w:qFormat/>
    <w:uiPriority w:val="0"/>
    <w:rPr>
      <w:rFonts w:ascii="宋体" w:hAnsi="宋体" w:eastAsia="宋体" w:cs="宋体"/>
      <w:sz w:val="19"/>
      <w:szCs w:val="19"/>
      <w:lang w:val="en-US" w:eastAsia="en-US" w:bidi="ar-SA"/>
    </w:rPr>
  </w:style>
  <w:style w:type="table" w:customStyle="1" w:styleId="115">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北京京都会计师事务所</Company>
  <Pages>17</Pages>
  <Words>8523</Words>
  <Characters>8944</Characters>
  <Lines>1</Lines>
  <Paragraphs>1</Paragraphs>
  <TotalTime>20</TotalTime>
  <ScaleCrop>false</ScaleCrop>
  <LinksUpToDate>false</LinksUpToDate>
  <CharactersWithSpaces>9077</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2018-05-23T19:35:00Z</dcterms:created>
  <dc:creator>Administrator</dc:creator>
  <cp:lastModifiedBy>aa</cp:lastModifiedBy>
  <cp:lastPrinted>2025-04-14T01:44:00Z</cp:lastPrinted>
  <dcterms:modified xsi:type="dcterms:W3CDTF">2026-06-22T16:23:43Z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