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2026</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2026</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1004</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2026</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2026</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1004</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二〇二六年三月二十六日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TOC \o "1-3" </w:instrText>
      </w:r>
      <w:r>
        <w:rPr>
          <w:rFonts w:hint="default" w:ascii="Times New Roman" w:hAnsi="Times New Roman" w:cs="Times New Roman"/>
        </w:rPr>
        <w:fldChar w:fldCharType="separate"/>
      </w:r>
      <w:r>
        <w:rPr>
          <w:rFonts w:hint="default" w:ascii="Times New Roman" w:hAnsi="Times New Roman" w:eastAsia="仿宋" w:cs="Times New Roman"/>
          <w:bCs/>
          <w:color w:val="auto"/>
          <w:szCs w:val="36"/>
          <w:u w:val="none"/>
        </w:rPr>
        <w:t>声  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_Toc10628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_Toc4530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w:t>
      </w:r>
      <w:r>
        <w:rPr>
          <w:rFonts w:hint="default" w:ascii="Times New Roman" w:hAnsi="Times New Roman" w:cs="Times New Roman"/>
          <w:lang w:eastAsia="zh-CN"/>
        </w:rPr>
        <w:t>分析报告</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_Toc27400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w:t>
      </w:r>
      <w:r>
        <w:rPr>
          <w:rFonts w:hint="default" w:ascii="Times New Roman" w:hAnsi="Times New Roman" w:eastAsia="仿宋" w:cs="Times New Roman"/>
          <w:szCs w:val="28"/>
        </w:rPr>
        <w:t>委托人</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债务人及债务责任关联方简介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_Toc9297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_Toc30665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_Toc20955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_Toc3814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_Toc23539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_Toc30321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_Toc14196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_Toc17062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w:t>
      </w:r>
      <w:r>
        <w:rPr>
          <w:rFonts w:hint="default" w:ascii="Times New Roman" w:hAnsi="Times New Roman" w:eastAsia="仿宋" w:cs="Times New Roman"/>
          <w:szCs w:val="28"/>
        </w:rPr>
        <w:t>价值分析结论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_Toc21458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_Toc5964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_Toc10350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_Toc28227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w:t>
      </w:r>
      <w:r>
        <w:rPr>
          <w:rFonts w:hint="default" w:ascii="Times New Roman" w:hAnsi="Times New Roman" w:eastAsia="仿宋" w:cs="Times New Roman"/>
          <w:color w:val="auto"/>
          <w:szCs w:val="30"/>
          <w:u w:val="none"/>
        </w:rPr>
        <w:t>报告附件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_Toc19785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2026</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李永超</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2026</w:t>
      </w:r>
      <w:r>
        <w:rPr>
          <w:rFonts w:hint="eastAsia" w:eastAsia="仿宋" w:cs="Times New Roman"/>
          <w:b/>
          <w:sz w:val="24"/>
          <w:szCs w:val="32"/>
          <w:lang w:eastAsia="zh-CN"/>
        </w:rPr>
        <w:t>]资评咨字第</w:t>
      </w:r>
      <w:r>
        <w:rPr>
          <w:rFonts w:hint="eastAsia" w:eastAsia="仿宋" w:cs="Times New Roman"/>
          <w:b/>
          <w:sz w:val="24"/>
          <w:szCs w:val="32"/>
          <w:lang w:eastAsia="zh-CN"/>
        </w:rPr>
        <w:t>1004</w:t>
      </w:r>
      <w:r>
        <w:rPr>
          <w:rFonts w:hint="eastAsia" w:eastAsia="仿宋" w:cs="Times New Roman"/>
          <w:b/>
          <w:sz w:val="24"/>
          <w:szCs w:val="32"/>
          <w:lang w:eastAsia="zh-CN"/>
        </w:rPr>
        <w:t>-</w:t>
      </w:r>
      <w:r>
        <w:rPr>
          <w:rFonts w:hint="eastAsia" w:eastAsia="仿宋" w:cs="Times New Roman"/>
          <w:b/>
          <w:sz w:val="24"/>
          <w:szCs w:val="32"/>
          <w:lang w:eastAsia="zh-CN"/>
        </w:rPr>
        <w:t>4</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2026</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李永超</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2025年12月31日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2025年12月31日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2026</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李永超</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2025年12月31日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136.62</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65.85</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48.19%</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2025年12月31日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2026年6月29日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2026</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李永超</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2026</w:t>
      </w:r>
      <w:r>
        <w:rPr>
          <w:rFonts w:hint="eastAsia" w:eastAsia="仿宋" w:cs="Times New Roman"/>
          <w:b/>
          <w:sz w:val="24"/>
          <w:szCs w:val="32"/>
          <w:lang w:eastAsia="zh-CN"/>
        </w:rPr>
        <w:t>]资评咨字第</w:t>
      </w:r>
      <w:r>
        <w:rPr>
          <w:rFonts w:hint="eastAsia" w:eastAsia="仿宋" w:cs="Times New Roman"/>
          <w:b/>
          <w:sz w:val="24"/>
          <w:szCs w:val="32"/>
          <w:lang w:eastAsia="zh-CN"/>
        </w:rPr>
        <w:t>1004</w:t>
      </w:r>
      <w:r>
        <w:rPr>
          <w:rFonts w:hint="eastAsia" w:eastAsia="仿宋" w:cs="Times New Roman"/>
          <w:b/>
          <w:sz w:val="24"/>
          <w:szCs w:val="32"/>
          <w:lang w:eastAsia="zh-CN"/>
        </w:rPr>
        <w:t>-</w:t>
      </w:r>
      <w:r>
        <w:rPr>
          <w:rFonts w:hint="eastAsia" w:eastAsia="仿宋" w:cs="Times New Roman"/>
          <w:b/>
          <w:sz w:val="24"/>
          <w:szCs w:val="32"/>
          <w:lang w:eastAsia="zh-CN"/>
        </w:rPr>
        <w:t>4</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2026</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李永超</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2025年12月31日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李永超及段红宇</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债务人一</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李永超</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320321198811177213</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江苏省徐州市泉山区万通小区2号楼4单元401室</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债务人二</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段红宇</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女</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320321198909200581</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江苏省丰县赵庄镇段堤口276-1号</w:t>
      </w:r>
      <w:r>
        <w:rPr>
          <w:rFonts w:hint="default" w:ascii="Times New Roman" w:hAnsi="Times New Roman" w:eastAsia="仿宋" w:cs="Times New Roman"/>
          <w:sz w:val="24"/>
          <w:szCs w:val="24"/>
          <w:lang w:eastAsia="zh-CN"/>
        </w:rPr>
        <w:t>。</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李永超</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李永超</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133.76</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2.86</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136.62</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140.00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李永超户及相关当事方签订的贷款合同、借款凭据、抵押合同等资料，本次债权价值分析范围为：抵（质）押物价值、保全资产价值、债务人的偿债能力及其他偿债资金来源等四个方面。其中，抵押物情况如下：</w:t>
      </w:r>
      <w:r>
        <w:rPr>
          <w:rFonts w:hint="eastAsia" w:eastAsia="仿宋" w:cs="Times New Roman"/>
          <w:sz w:val="24"/>
          <w:szCs w:val="24"/>
          <w:lang w:val="en-US" w:eastAsia="zh-CN"/>
        </w:rPr>
      </w:r>
      <w:r>
        <w:rPr>
          <w:rFonts w:hint="eastAsia" w:eastAsia="仿宋" w:cs="Times New Roman"/>
          <w:sz w:val="24"/>
          <w:szCs w:val="24"/>
          <w:lang w:val="en-US" w:eastAsia="zh-CN"/>
        </w:rPr>
      </w:r>
      <w:r>
        <w:rPr>
          <w:rFonts w:hint="default" w:ascii="Times New Roman" w:hAnsi="Times New Roman" w:eastAsia="仿宋" w:cs="Times New Roman"/>
          <w:sz w:val="24"/>
          <w:szCs w:val="24"/>
          <w:lang w:val="en-US" w:eastAsia="zh-CN"/>
        </w:rPr>
      </w:r>
      <w:r>
        <w:rPr>
          <w:rFonts w:hint="eastAsia" w:eastAsia="仿宋" w:cs="Times New Roman"/>
          <w:sz w:val="24"/>
          <w:szCs w:val="24"/>
          <w:lang w:val="en-US" w:eastAsia="zh-CN"/>
        </w:rPr>
      </w:r>
      <w:r>
        <w:rPr>
          <w:rFonts w:hint="default" w:ascii="Times New Roman" w:hAnsi="Times New Roman" w:eastAsia="仿宋" w:cs="Times New Roman"/>
          <w:sz w:val="24"/>
          <w:szCs w:val="24"/>
          <w:lang w:val="en-US" w:eastAsia="zh-CN"/>
        </w:rPr>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苏（2022）苏州市不动产权第6100060号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李永超</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江苏省苏州市吴中区木渎镇苏胥湾花园1幢1502室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15层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88.73</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2025年12月31日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苏（2022）苏州市不动产权第6100060号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李永超</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江苏省苏州市吴中区木渎镇苏胥湾花园1幢1502室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15层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88.73</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李永超、段红宇</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江苏省苏州市吴中区木渎镇苏胥湾花园1幢1502室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88.73</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13,894.00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1,232,815.00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0.70</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1,232,815.00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862,971.00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3.00%</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3.00%</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862,971.00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807,482.00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29,032.00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807,482.00-29,032.00-120,000.00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658,450.00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658,450.00元，资产抵押债权金额为1,366,233.69元，抵押权利价值为1,400,000.00元，抵押物可回收金额为三者最低值，所以李永超户债权资产分析价值为抵押物可回收金额，即658,450.00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2026</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李永超</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2026</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李永超</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2025年12月31日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136.62</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65.85</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48.19%</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2025年12月31日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2026年6月29日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2026年3月26日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2026</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2026</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