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石明京</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1</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石明京</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1</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rPr>
        <w:t>二〇二六年三月二十六日</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headerReference w:type="first" r:id="rId12"/>
          <w:headerReference w:type="even" r:id="rId13"/>
          <w:footerReference w:type="first" r:id="rId14"/>
          <w:footerReference w:type="even" r:id="rId15"/>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w:instrText>
      </w:r>
      <w:r>
        <w:rPr>
          <w:rFonts w:hint="default" w:ascii="Times New Roman" w:hAnsi="Times New Roman" w:cs="Times New Roman"/>
        </w:rPr>
        <w:fldChar w:fldCharType="separate"/>
      </w:r>
      <w:r>
        <w:rPr>
          <w:rFonts w:hint="default" w:ascii="Times New Roman" w:hAnsi="Times New Roman" w:eastAsia="仿宋" w:cs="Times New Roman"/>
          <w:bCs/>
          <w:color w:val="auto"/>
          <w:szCs w:val="36"/>
          <w:u w:val="none"/>
        </w:rPr>
        <w:t>声  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_Toc10628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_Toc4530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w:t>
      </w:r>
      <w:r>
        <w:rPr>
          <w:rFonts w:hint="default" w:ascii="Times New Roman" w:hAnsi="Times New Roman" w:cs="Times New Roman"/>
          <w:lang w:eastAsia="zh-CN"/>
        </w:rPr>
        <w:t>分析报告</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_Toc27400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w:t>
      </w:r>
      <w:r>
        <w:rPr>
          <w:rFonts w:hint="default" w:ascii="Times New Roman" w:hAnsi="Times New Roman" w:eastAsia="仿宋" w:cs="Times New Roman"/>
          <w:szCs w:val="28"/>
        </w:rPr>
        <w:t>委托人</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债务人及债务责任关联方简介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_Toc9297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_Toc14196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w:t>
      </w:r>
      <w:r>
        <w:rPr>
          <w:rFonts w:hint="default" w:ascii="Times New Roman" w:hAnsi="Times New Roman" w:eastAsia="仿宋" w:cs="Times New Roman"/>
          <w:szCs w:val="28"/>
        </w:rPr>
        <w:t>价值分析结论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_Toc21458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_Toc5964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_Toc10350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w:t>
      </w:r>
      <w:r>
        <w:rPr>
          <w:rFonts w:hint="default" w:ascii="Times New Roman" w:hAnsi="Times New Roman" w:eastAsia="仿宋" w:cs="Times New Roman"/>
          <w:color w:val="auto"/>
          <w:szCs w:val="30"/>
          <w:u w:val="none"/>
        </w:rPr>
        <w:t>报告附件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_Toc19785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石明京</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1</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石明京</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石明京</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石明京</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rPr>
        <w:t>2025年12月31日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rPr>
        <w:t>2026</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rPr>
        <w:t>石明京</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rPr>
        <w:t>2025年12月31日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rPr>
        <w:t>137.34</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rPr>
        <w:t>60.32</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rPr>
        <w:t>43.92%</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石明京</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1</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石明京</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rPr>
        <w:t>石明京</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石明京</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男</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32080319980501381X</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江苏省淮安市淮安区苏嘴镇龚营村四组244号</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eastAsia" w:ascii="Times New Roman" w:hAnsi="Times New Roman" w:eastAsia="仿宋" w:cs="Times New Roman"/>
          <w:b/>
          <w:szCs w:val="24"/>
          <w:lang w:val="en-US" w:eastAsia="zh-CN"/>
        </w:rPr>
        <w:t>债务责任关联方简介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cs="Times New Roman"/>
          <w:sz w:val="24"/>
          <w:szCs w:val="24"/>
          <w:lang w:val="en-US" w:eastAsia="zh-CN"/>
        </w:rPr>
      </w:pPr>
      <w:r>
        <w:rPr>
          <w:rFonts w:hint="eastAsia" w:eastAsia="仿宋" w:cs="Times New Roman"/>
          <w:sz w:val="24"/>
          <w:szCs w:val="24"/>
          <w:lang w:val="en-US" w:eastAsia="zh-CN"/>
        </w:rPr>
        <w:t>保证人：</w:t>
      </w:r>
      <w:r>
        <w:rPr>
          <w:rFonts w:hint="eastAsia" w:eastAsia="仿宋" w:cs="Times New Roman"/>
          <w:sz w:val="24"/>
          <w:szCs w:val="24"/>
          <w:lang w:val="en-US" w:eastAsia="zh-CN"/>
        </w:rPr>
        <w:t>苏州湖昱置业有限公司</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石明京</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石明京</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rPr>
        <w:t>石明京</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rPr>
        <w:t>135.35</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rPr>
        <w:t>1.99</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rPr>
        <w:t>137.34</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rPr>
        <w:t>140.00</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w:t>
      </w:r>
      <w:r>
        <w:rPr>
          <w:rFonts w:hint="eastAsia" w:eastAsia="仿宋" w:cs="Times New Roman"/>
          <w:sz w:val="24"/>
          <w:szCs w:val="24"/>
          <w:lang w:val="en-US" w:eastAsia="zh-CN"/>
        </w:rPr>
        <w:t>石明京</w:t>
      </w:r>
      <w:r>
        <w:rPr>
          <w:rFonts w:hint="eastAsia" w:eastAsia="仿宋" w:cs="Times New Roman"/>
          <w:sz w:val="24"/>
          <w:szCs w:val="24"/>
          <w:lang w:val="en-US" w:eastAsia="zh-CN"/>
        </w:rPr>
        <w:t>户</w:t>
      </w:r>
      <w:r>
        <w:rPr>
          <w:rFonts w:hint="default" w:ascii="Times New Roman" w:hAnsi="Times New Roman" w:eastAsia="仿宋" w:cs="Times New Roman"/>
          <w:sz w:val="24"/>
          <w:szCs w:val="24"/>
          <w:lang w:val="en-US" w:eastAsia="zh-CN"/>
        </w:rPr>
        <w:t>及相关当事方签订的贷款合同、借款凭据、抵押合同、保证合同等资料，本次债权价值分析范围为：抵（质）押物价值、保全资产价值、</w:t>
      </w:r>
      <w:r>
        <w:rPr>
          <w:rFonts w:hint="eastAsia" w:eastAsia="仿宋" w:cs="Times New Roman"/>
          <w:sz w:val="24"/>
          <w:szCs w:val="24"/>
          <w:lang w:val="en-US" w:eastAsia="zh-CN"/>
        </w:rPr>
        <w:t>债务人</w:t>
      </w:r>
      <w:r>
        <w:rPr>
          <w:rFonts w:hint="default" w:ascii="Times New Roman" w:hAnsi="Times New Roman" w:eastAsia="仿宋" w:cs="Times New Roman"/>
          <w:sz w:val="24"/>
          <w:szCs w:val="24"/>
          <w:lang w:val="en-US" w:eastAsia="zh-CN"/>
        </w:rPr>
        <w:t>的偿债能力、保证人的偿债能力及其他偿债资金来源等五个方面。其中，抵押物情况如下：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苏（2023）苏州市不动产证明第6009128号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石明京</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江苏省苏州市吴中区甪直镇望湖玫瑰花园7幢603室</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6层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98.67</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rPr>
        <w:t>2025年12月31日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苏（2023）苏州市不动产证明第6009128号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石明京</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江苏省苏州市吴中区甪直镇望湖玫瑰花园7幢603室</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6层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98.67</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石明京</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江苏省苏州市吴中区甪直镇望湖玫瑰花园7幢603室</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98.67</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11,612.00</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1,145,756.00</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rPr>
        <w:t>0.70</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1,145,756.00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0.70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802,029.00</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rPr>
        <w:t>第三年下半年</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rPr>
        <w:t>3.00%</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rPr>
        <w:t>2.25</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rPr>
        <w:t>3.00%</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rPr>
        <w:t>2.25</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rPr>
        <w:t>0.9357</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802,029.00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0.9357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750,459.00</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rPr>
        <w:t>及安置费用</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rPr>
        <w:t>27,264.00</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rPr>
        <w:t>同时，由于抵押物为债务人的唯一住房，需考虑安置费用，根据委托人提供的资料，本次考虑安置费用为120,000.00元。</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rPr>
        <w:t>抵押物折现价值-处置费用-安置费用</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750,459.00-27,264.00-120,000.00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603,195.00</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603,195.00元，资产抵押债权金额为1,373,413.02元，抵押权利价值为1,400,000.00元，抵押物可回收金额为三者最低值，所以石明京户债权资产分析价值为抵押物可回收金额，即603,195.00元。</w:t>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rPr>
        <w:t>2026</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rPr>
        <w:t>石明京</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rPr>
        <w:t>2026</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rPr>
        <w:t>石明京</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rPr>
        <w:t>2025年12月31日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rPr>
        <w:t>137.34</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rPr>
        <w:t>60.32</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rPr>
        <w:t>43.92%</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rPr>
        <w:t>2026年3月26日</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石明京</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石明京</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