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2AB8B2" w14:textId="77777777" w:rsidR="009C6F99" w:rsidRDefault="009C6F99">
      <w:pPr>
        <w:ind w:firstLine="480"/>
        <w:jc w:val="left"/>
        <w:rPr>
          <w:rFonts w:eastAsia="仿宋"/>
        </w:rPr>
      </w:pPr>
    </w:p>
    <w:p w14:paraId="1BFC60FA" w14:textId="77777777" w:rsidR="009C6F99" w:rsidRDefault="0045026B">
      <w:pPr>
        <w:ind w:firstLine="480"/>
        <w:jc w:val="left"/>
        <w:rPr>
          <w:rFonts w:eastAsia="仿宋"/>
        </w:rPr>
      </w:pPr>
      <w:r>
        <w:rPr>
          <w:rFonts w:eastAsia="仿宋"/>
          <w:noProof/>
        </w:rPr>
        <mc:AlternateContent>
          <mc:Choice Requires="wps">
            <w:drawing>
              <wp:anchor distT="0" distB="0" distL="114300" distR="114300" simplePos="0" relativeHeight="251659264" behindDoc="0" locked="0" layoutInCell="1" allowOverlap="1" wp14:anchorId="40452E87" wp14:editId="3916D6A5">
                <wp:simplePos x="0" y="0"/>
                <wp:positionH relativeFrom="column">
                  <wp:posOffset>0</wp:posOffset>
                </wp:positionH>
                <wp:positionV relativeFrom="paragraph">
                  <wp:posOffset>3810</wp:posOffset>
                </wp:positionV>
                <wp:extent cx="5446395" cy="4075430"/>
                <wp:effectExtent l="0" t="0" r="1905" b="1270"/>
                <wp:wrapNone/>
                <wp:docPr id="2"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46395" cy="4075430"/>
                        </a:xfrm>
                        <a:prstGeom prst="rect">
                          <a:avLst/>
                        </a:prstGeom>
                        <a:solidFill>
                          <a:srgbClr val="FFFFFF"/>
                        </a:solidFill>
                        <a:ln>
                          <a:noFill/>
                        </a:ln>
                      </wps:spPr>
                      <wps:txbx>
                        <w:txbxContent>
                          <w:p w14:paraId="03CF2115" w14:textId="77777777" w:rsidR="009C6F99" w:rsidRDefault="009C6F99">
                            <w:pPr>
                              <w:snapToGrid w:val="0"/>
                              <w:spacing w:line="216" w:lineRule="auto"/>
                              <w:ind w:firstLine="360"/>
                              <w:jc w:val="center"/>
                              <w:rPr>
                                <w:rFonts w:eastAsia="仿宋_GB2312"/>
                                <w:b/>
                                <w:color w:val="000000"/>
                                <w:sz w:val="44"/>
                                <w:szCs w:val="44"/>
                              </w:rPr>
                            </w:pPr>
                          </w:p>
                          <w:p w14:paraId="3C34CA6B" w14:textId="77777777" w:rsidR="009C6F99" w:rsidRDefault="009C6F99">
                            <w:pPr>
                              <w:snapToGrid w:val="0"/>
                              <w:spacing w:line="216" w:lineRule="auto"/>
                              <w:ind w:firstLine="360"/>
                              <w:jc w:val="center"/>
                              <w:rPr>
                                <w:rFonts w:eastAsia="仿宋_GB2312"/>
                                <w:b/>
                                <w:color w:val="000000"/>
                                <w:sz w:val="44"/>
                                <w:szCs w:val="44"/>
                              </w:rPr>
                            </w:pPr>
                          </w:p>
                          <w:p w14:paraId="50462FA8" w14:textId="77777777" w:rsidR="009C6F99" w:rsidRDefault="009C6F99">
                            <w:pPr>
                              <w:snapToGrid w:val="0"/>
                              <w:spacing w:line="216" w:lineRule="auto"/>
                              <w:ind w:firstLine="360"/>
                              <w:jc w:val="center"/>
                              <w:rPr>
                                <w:rFonts w:eastAsia="仿宋_GB2312"/>
                                <w:b/>
                                <w:color w:val="000000"/>
                                <w:sz w:val="44"/>
                                <w:szCs w:val="44"/>
                              </w:rPr>
                            </w:pPr>
                          </w:p>
                          <w:p w14:paraId="2F9F1022" w14:textId="77777777" w:rsidR="009C6F99" w:rsidRDefault="009C6F99">
                            <w:pPr>
                              <w:snapToGrid w:val="0"/>
                              <w:spacing w:line="216" w:lineRule="auto"/>
                              <w:ind w:firstLine="360"/>
                              <w:jc w:val="center"/>
                              <w:rPr>
                                <w:rFonts w:eastAsia="仿宋_GB2312"/>
                                <w:b/>
                                <w:color w:val="000000"/>
                                <w:sz w:val="44"/>
                                <w:szCs w:val="44"/>
                              </w:rPr>
                            </w:pPr>
                          </w:p>
                          <w:p w14:paraId="043AA280" w14:textId="77777777" w:rsidR="009C6F99" w:rsidRDefault="009C6F99">
                            <w:pPr>
                              <w:snapToGrid w:val="0"/>
                              <w:spacing w:line="216" w:lineRule="auto"/>
                              <w:ind w:firstLine="360"/>
                              <w:jc w:val="center"/>
                              <w:rPr>
                                <w:rFonts w:eastAsia="仿宋_GB2312"/>
                                <w:b/>
                                <w:color w:val="000000"/>
                                <w:sz w:val="44"/>
                                <w:szCs w:val="44"/>
                              </w:rPr>
                            </w:pPr>
                          </w:p>
                          <w:p w14:paraId="5878BA2D" w14:textId="77777777" w:rsidR="009C6F99" w:rsidRDefault="009C6F99">
                            <w:pPr>
                              <w:snapToGrid w:val="0"/>
                              <w:spacing w:line="216" w:lineRule="auto"/>
                              <w:ind w:firstLine="360"/>
                              <w:jc w:val="center"/>
                              <w:rPr>
                                <w:rFonts w:eastAsia="仿宋_GB2312"/>
                                <w:b/>
                                <w:color w:val="000000"/>
                                <w:sz w:val="44"/>
                                <w:szCs w:val="44"/>
                              </w:rPr>
                            </w:pPr>
                          </w:p>
                          <w:p w14:paraId="2A8B3A99" w14:textId="77777777" w:rsidR="009C6F99" w:rsidRDefault="009C6F99">
                            <w:pPr>
                              <w:pStyle w:val="Textkrper-Erstzeileneinzug2"/>
                              <w:ind w:left="480" w:firstLine="480"/>
                            </w:pPr>
                          </w:p>
                          <w:p w14:paraId="3A53C8CA" w14:textId="77777777" w:rsidR="009C6F99" w:rsidRDefault="0045026B">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中国工商银行股份有限公司苏州分行</w:t>
                            </w:r>
                            <w:r>
                              <w:rPr>
                                <w:rFonts w:eastAsia="仿宋"/>
                                <w:b/>
                                <w:color w:val="000000" w:themeColor="text1"/>
                                <w:sz w:val="36"/>
                                <w:szCs w:val="36"/>
                              </w:rPr>
                              <w:t>2025</w:t>
                            </w:r>
                            <w:r>
                              <w:rPr>
                                <w:rFonts w:eastAsia="仿宋"/>
                                <w:b/>
                                <w:color w:val="000000" w:themeColor="text1"/>
                                <w:sz w:val="36"/>
                                <w:szCs w:val="36"/>
                              </w:rPr>
                              <w:t>年住房类</w:t>
                            </w:r>
                          </w:p>
                          <w:p w14:paraId="3B4AB29E" w14:textId="77777777" w:rsidR="009C6F99" w:rsidRDefault="0045026B">
                            <w:pPr>
                              <w:snapToGrid w:val="0"/>
                              <w:spacing w:line="300" w:lineRule="auto"/>
                              <w:ind w:firstLine="0"/>
                              <w:jc w:val="center"/>
                              <w:rPr>
                                <w:rFonts w:eastAsia="仿宋"/>
                                <w:b/>
                                <w:color w:val="000000" w:themeColor="text1"/>
                                <w:sz w:val="36"/>
                                <w:szCs w:val="36"/>
                              </w:rPr>
                            </w:pPr>
                            <w:r>
                              <w:rPr>
                                <w:rFonts w:eastAsia="仿宋"/>
                                <w:b/>
                                <w:color w:val="000000" w:themeColor="text1"/>
                                <w:sz w:val="36"/>
                                <w:szCs w:val="36"/>
                              </w:rPr>
                              <w:t>个贷不良资产证券化项目涉及</w:t>
                            </w:r>
                            <w:r>
                              <w:rPr>
                                <w:rFonts w:eastAsia="仿宋"/>
                                <w:b/>
                                <w:color w:val="000000" w:themeColor="text1"/>
                                <w:sz w:val="36"/>
                                <w:szCs w:val="36"/>
                              </w:rPr>
                              <w:t>的</w:t>
                            </w:r>
                            <w:r>
                              <w:rPr>
                                <w:rFonts w:eastAsia="仿宋" w:hint="eastAsia"/>
                                <w:b/>
                                <w:color w:val="000000" w:themeColor="text1"/>
                                <w:sz w:val="36"/>
                                <w:szCs w:val="36"/>
                              </w:rPr>
                              <w:t>李永超户</w:t>
                            </w:r>
                          </w:p>
                          <w:p w14:paraId="3BB32AF2" w14:textId="77777777" w:rsidR="009C6F99" w:rsidRDefault="0045026B">
                            <w:pPr>
                              <w:snapToGrid w:val="0"/>
                              <w:spacing w:line="300" w:lineRule="auto"/>
                              <w:ind w:firstLine="0"/>
                              <w:jc w:val="center"/>
                              <w:rPr>
                                <w:rFonts w:eastAsia="仿宋_GB2312"/>
                                <w:b/>
                                <w:color w:val="000000" w:themeColor="text1"/>
                                <w:sz w:val="36"/>
                                <w:szCs w:val="36"/>
                              </w:rPr>
                            </w:pPr>
                            <w:r>
                              <w:rPr>
                                <w:rFonts w:eastAsia="仿宋"/>
                                <w:b/>
                                <w:color w:val="000000" w:themeColor="text1"/>
                                <w:sz w:val="36"/>
                                <w:szCs w:val="36"/>
                              </w:rPr>
                              <w:t>债权清算价值分析报告</w:t>
                            </w:r>
                          </w:p>
                          <w:p w14:paraId="63834DB2" w14:textId="77777777" w:rsidR="009C6F99" w:rsidRDefault="009C6F99">
                            <w:pPr>
                              <w:tabs>
                                <w:tab w:val="left" w:pos="0"/>
                              </w:tabs>
                              <w:spacing w:line="240" w:lineRule="auto"/>
                              <w:ind w:firstLine="0"/>
                              <w:jc w:val="center"/>
                              <w:outlineLvl w:val="0"/>
                              <w:rPr>
                                <w:rFonts w:eastAsia="仿宋_GB2312"/>
                                <w:b/>
                                <w:spacing w:val="10"/>
                                <w:szCs w:val="24"/>
                              </w:rPr>
                            </w:pPr>
                          </w:p>
                          <w:p w14:paraId="3F487FF4" w14:textId="77777777" w:rsidR="009C6F99" w:rsidRDefault="0045026B">
                            <w:pPr>
                              <w:tabs>
                                <w:tab w:val="left" w:pos="0"/>
                              </w:tabs>
                              <w:spacing w:line="240" w:lineRule="auto"/>
                              <w:ind w:firstLine="0"/>
                              <w:jc w:val="center"/>
                              <w:outlineLvl w:val="0"/>
                              <w:rPr>
                                <w:rFonts w:eastAsia="仿宋_GB2312"/>
                                <w:b/>
                                <w:spacing w:val="10"/>
                                <w:szCs w:val="24"/>
                              </w:rPr>
                            </w:pPr>
                            <w:r>
                              <w:rPr>
                                <w:rFonts w:eastAsia="仿宋_GB2312" w:hint="eastAsia"/>
                                <w:b/>
                                <w:spacing w:val="10"/>
                                <w:szCs w:val="24"/>
                              </w:rPr>
                              <w:t>天地恒安</w:t>
                            </w:r>
                            <w:r>
                              <w:rPr>
                                <w:rFonts w:eastAsia="仿宋_GB2312" w:hint="eastAsia"/>
                                <w:b/>
                                <w:spacing w:val="10"/>
                                <w:szCs w:val="24"/>
                              </w:rPr>
                              <w:t>[2025]</w:t>
                            </w:r>
                            <w:r>
                              <w:rPr>
                                <w:rFonts w:eastAsia="仿宋_GB2312" w:hint="eastAsia"/>
                                <w:b/>
                                <w:spacing w:val="10"/>
                                <w:szCs w:val="24"/>
                              </w:rPr>
                              <w:t>资评咨字第</w:t>
                            </w:r>
                            <w:r>
                              <w:rPr>
                                <w:rFonts w:eastAsia="仿宋_GB2312" w:hint="eastAsia"/>
                                <w:b/>
                                <w:spacing w:val="10"/>
                                <w:szCs w:val="24"/>
                              </w:rPr>
                              <w:t>1017-4</w:t>
                            </w:r>
                            <w:r>
                              <w:rPr>
                                <w:rFonts w:eastAsia="仿宋_GB2312" w:hint="eastAsia"/>
                                <w:b/>
                                <w:spacing w:val="10"/>
                                <w:szCs w:val="24"/>
                              </w:rPr>
                              <w:t>号</w:t>
                            </w:r>
                          </w:p>
                          <w:p w14:paraId="5B6188C2" w14:textId="77777777" w:rsidR="009C6F99" w:rsidRDefault="009C6F99">
                            <w:pPr>
                              <w:pStyle w:val="Textkrper-Erstzeileneinzug2"/>
                              <w:ind w:left="480" w:firstLineChars="1200" w:firstLine="2891"/>
                              <w:rPr>
                                <w:rFonts w:eastAsia="仿宋_GB2312"/>
                                <w:b/>
                                <w:color w:val="000000" w:themeColor="text1"/>
                                <w:szCs w:val="24"/>
                              </w:rPr>
                            </w:pPr>
                          </w:p>
                          <w:p w14:paraId="47C86181" w14:textId="77777777" w:rsidR="009C6F99" w:rsidRDefault="009C6F99">
                            <w:pPr>
                              <w:pStyle w:val="Textkrper-Erstzeileneinzug2"/>
                              <w:ind w:left="480" w:firstLineChars="800" w:firstLine="2560"/>
                              <w:rPr>
                                <w:rFonts w:eastAsia="仿宋_GB2312"/>
                                <w:sz w:val="32"/>
                                <w:szCs w:val="32"/>
                              </w:rPr>
                            </w:pPr>
                          </w:p>
                        </w:txbxContent>
                      </wps:txbx>
                      <wps:bodyPr rot="0" vert="horz" wrap="square" lIns="91440" tIns="45720" rIns="91440" bIns="45720" anchor="t" anchorCtr="0" upright="1">
                        <a:noAutofit/>
                      </wps:bodyPr>
                    </wps:wsp>
                  </a:graphicData>
                </a:graphic>
              </wp:anchor>
            </w:drawing>
          </mc:Choice>
          <mc:Fallback xmlns:wpsCustomData="http://www.wps.cn/officeDocument/2013/wpsCustomData">
            <w:pict>
              <v:shape id="_x0000_s1026" o:spid="_x0000_s1026" o:spt="202" type="#_x0000_t202" style="position:absolute;left:0pt;margin-left:0pt;margin-top:0.3pt;height:320.9pt;width:428.85pt;z-index:251659264;mso-width-relative:page;mso-height-relative:page;" fillcolor="#FFFFFF" filled="t" stroked="f" coordsize="21600,21600" o:gfxdata="UEsDBAoAAAAAAIdO4kAAAAAAAAAAAAAAAAAEAAAAZHJzL1BLAwQUAAAACACHTuJAF/Vu6tQAAAAF&#10;AQAADwAAAGRycy9kb3ducmV2LnhtbE2PzU7DMBCE70i8g7VIXBB1WqVJCXEqgQTi2p8H2MTbJCJe&#10;R7HbtG/PcoLjaEYz35TbqxvUhabQezawXCSgiBtve24NHA8fzxtQISJbHDyTgRsF2Fb3dyUW1s+8&#10;o8s+tkpKOBRooItxLLQOTUcOw8KPxOKd/OQwipxabSecpdwNepUkmXbYsyx0ONJ7R833/uwMnL7m&#10;p/XLXH/GY75Lszfs89rfjHl8WCavoCJd418YfvEFHSphqv2ZbVCDATkSDWSgxNus8xxULTJdpaCr&#10;Uv+nr34AUEsDBBQAAAAIAIdO4kCENyDOLQIAAD8EAAAOAAAAZHJzL2Uyb0RvYy54bWytU82O0zAQ&#10;viPxDpbvNG033WWjpqulVRHS8iMtPIDrOIlF4jFjt8nyAPAGnLhw57n6HIydbqnKZQ/kEHk8M9/M&#10;9814ftO3DdspdBpMziejMWfKSCi0qXL+6eP6xUvOnBemEA0YlfMH5fjN4vmzeWczNYUamkIhIxDj&#10;ss7mvPbeZkniZK1a4UZglSFnCdgKTyZWSYGiI/S2Sabj8WXSARYWQSrn6HY1OPkBEZ8CCGWppVqB&#10;3LbK+AEVVSM8UXK1to4vYrdlqaR/X5ZOedbknJj6+KcidN6Ef7KYi6xCYWstDy2Ip7RwxqkV2lDR&#10;I9RKeMG2qP+BarVEcFD6kYQ2GYhERYjFZHymzX0trIpcSGpnj6K7/wcr3+0+INNFzqecGdHSwPc/&#10;vu9//t7/+samQZ7Ouoyi7i3F+f4V9LQ0kaqzdyA/O2ZgWQtTqVtE6GolCmpvEjKTk9QBxwWQTfcW&#10;Cqojth4iUF9iG7QjNRih02gejqNRvWeSLmdpenlxPeNMki8dX83Sizi8RGSP6Radf62gZeGQc6TZ&#10;R3ixu3M+tCOyx5BQzUGji7VummhgtVk2yHaC9mQdv8jgLKwxIdhASBsQw03kGagNJH2/6Q+6baB4&#10;IMYIw97Rq6NDDfiVs452Lufuy1ag4qx5Y0i160mahiWNRjq7mpKBp57NqUcYSVA595wNx6UfFntr&#10;UVc1VRrmZOCWlC511CCMZOjq0DftVZTm8AbC4p7aMervu1/8A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Bf1burUAAAABQEAAA8AAAAAAAAAAQAgAAAAIgAAAGRycy9kb3ducmV2LnhtbFBLAQIUABQA&#10;AAAIAIdO4kCENyDOLQIAAD8EAAAOAAAAAAAAAAEAIAAAACMBAABkcnMvZTJvRG9jLnhtbFBLBQYA&#10;AAAABgAGAFkBAADCBQAAAAA=&#10;">
                <v:fill on="t" focussize="0,0"/>
                <v:stroke on="f"/>
                <v:imagedata o:title=""/>
                <o:lock v:ext="edit" aspectratio="f"/>
                <v:textbox>
                  <w:txbxContent>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snapToGrid w:val="0"/>
                        <w:spacing w:line="216" w:lineRule="auto"/>
                        <w:ind w:firstLine="360"/>
                        <w:jc w:val="center"/>
                        <w:rPr>
                          <w:rFonts w:hint="default" w:ascii="Times New Roman" w:hAnsi="Times New Roman" w:eastAsia="仿宋_GB2312" w:cs="Times New Roman"/>
                          <w:b/>
                          <w:color w:val="000000"/>
                          <w:sz w:val="44"/>
                          <w:szCs w:val="44"/>
                        </w:rPr>
                      </w:pPr>
                    </w:p>
                    <w:p>
                      <w:pPr>
                        <w:pStyle w:val="2"/>
                        <w:rPr>
                          <w:rFonts w:hint="default"/>
                        </w:rPr>
                      </w:pP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中国工商银行股份有限公司苏州分行</w:t>
                      </w:r>
                      <w:r>
                        <w:rPr>
                          <w:rFonts w:hint="default" w:ascii="Times New Roman" w:hAnsi="Times New Roman" w:eastAsia="仿宋" w:cs="Times New Roman"/>
                          <w:b/>
                          <w:color w:val="000000" w:themeColor="text1"/>
                          <w:sz w:val="36"/>
                          <w:szCs w:val="36"/>
                          <w:lang w:eastAsia="zh-CN"/>
                          <w14:textFill>
                            <w14:solidFill>
                              <w14:schemeClr w14:val="tx1"/>
                            </w14:solidFill>
                          </w14:textFill>
                        </w:rPr>
                        <w:t>2025</w:t>
                      </w:r>
                      <w:r>
                        <w:rPr>
                          <w:rFonts w:hint="default" w:ascii="Times New Roman" w:hAnsi="Times New Roman" w:eastAsia="仿宋" w:cs="Times New Roman"/>
                          <w:b/>
                          <w:color w:val="000000" w:themeColor="text1"/>
                          <w:sz w:val="36"/>
                          <w:szCs w:val="36"/>
                          <w:lang w:eastAsia="zh-CN"/>
                          <w14:textFill>
                            <w14:solidFill>
                              <w14:schemeClr w14:val="tx1"/>
                            </w14:solidFill>
                          </w14:textFill>
                        </w:rPr>
                        <w:t>年住房类</w:t>
                      </w:r>
                      <w:r>
                        <w:rPr>
                          <w:rFonts w:hint="eastAsia" w:eastAsia="仿宋" w:cs="Times New Roman"/>
                          <w:b/>
                          <w:color w:val="000000" w:themeColor="text1"/>
                          <w:sz w:val="36"/>
                          <w:szCs w:val="36"/>
                          <w:lang w:val="en-US" w:eastAsia="zh-CN"/>
                          <w14:textFill>
                            <w14:solidFill>
                              <w14:schemeClr w14:val="tx1"/>
                            </w14:solidFill>
                          </w14:textFill>
                        </w:rPr>
                        <w:t/>
                      </w:r>
                      <w:r>
                        <w:rPr>
                          <w:rFonts w:hint="default" w:ascii="Times New Roman" w:hAnsi="Times New Roman" w:eastAsia="仿宋" w:cs="Times New Roman"/>
                          <w:b/>
                          <w:color w:val="000000" w:themeColor="text1"/>
                          <w:sz w:val="36"/>
                          <w:szCs w:val="36"/>
                          <w:lang w:eastAsia="zh-CN"/>
                          <w14:textFill>
                            <w14:solidFill>
                              <w14:schemeClr w14:val="tx1"/>
                            </w14:solidFill>
                          </w14:textFill>
                        </w:rPr>
                        <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 w:cs="Times New Roman"/>
                          <w:b/>
                          <w:color w:val="000000" w:themeColor="text1"/>
                          <w:sz w:val="36"/>
                          <w:szCs w:val="36"/>
                          <w:lang w:val="en-US" w:eastAsia="zh-CN"/>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个贷不良资产证券化项目涉及</w:t>
                      </w:r>
                      <w:r>
                        <w:rPr>
                          <w:rFonts w:hint="default" w:ascii="Times New Roman" w:hAnsi="Times New Roman" w:eastAsia="仿宋" w:cs="Times New Roman"/>
                          <w:b/>
                          <w:color w:val="000000" w:themeColor="text1"/>
                          <w:sz w:val="36"/>
                          <w:szCs w:val="36"/>
                          <w:lang w:val="en-US" w:eastAsia="zh-CN"/>
                          <w14:textFill>
                            <w14:solidFill>
                              <w14:schemeClr w14:val="tx1"/>
                            </w14:solidFill>
                          </w14:textFill>
                        </w:rPr>
                        <w:t>的</w:t>
                      </w:r>
                      <w:r>
                        <w:rPr>
                          <w:rFonts w:hint="eastAsia" w:eastAsia="仿宋" w:cs="Times New Roman"/>
                          <w:b/>
                          <w:color w:val="000000" w:themeColor="text1"/>
                          <w:sz w:val="36"/>
                          <w:szCs w:val="36"/>
                          <w:lang w:val="en-US" w:eastAsia="zh-CN"/>
                          <w14:textFill>
                            <w14:solidFill>
                              <w14:schemeClr w14:val="tx1"/>
                            </w14:solidFill>
                          </w14:textFill>
                        </w:rPr>
                        <w:t>李永超</w:t>
                      </w:r>
                      <w:r>
                        <w:rPr>
                          <w:rFonts w:hint="eastAsia" w:eastAsia="仿宋" w:cs="Times New Roman"/>
                          <w:b/>
                          <w:color w:val="000000" w:themeColor="text1"/>
                          <w:sz w:val="36"/>
                          <w:szCs w:val="36"/>
                          <w:lang w:val="en-US" w:eastAsia="zh-CN"/>
                          <w14:textFill>
                            <w14:solidFill>
                              <w14:schemeClr w14:val="tx1"/>
                            </w14:solidFill>
                          </w14:textFill>
                        </w:rPr>
                        <w:t>户</w:t>
                      </w:r>
                    </w:p>
                    <w:p>
                      <w:pPr>
                        <w:keepNext w:val="0"/>
                        <w:keepLines w:val="0"/>
                        <w:pageBreakBefore w:val="0"/>
                        <w:widowControl w:val="0"/>
                        <w:kinsoku/>
                        <w:wordWrap/>
                        <w:overflowPunct/>
                        <w:topLinePunct w:val="0"/>
                        <w:bidi w:val="0"/>
                        <w:adjustRightInd/>
                        <w:snapToGrid w:val="0"/>
                        <w:spacing w:line="300" w:lineRule="auto"/>
                        <w:ind w:firstLine="0"/>
                        <w:jc w:val="center"/>
                        <w:textAlignment w:val="auto"/>
                        <w:rPr>
                          <w:rFonts w:hint="default" w:ascii="Times New Roman" w:hAnsi="Times New Roman" w:eastAsia="仿宋_GB2312" w:cs="Times New Roman"/>
                          <w:b/>
                          <w:color w:val="000000" w:themeColor="text1"/>
                          <w:sz w:val="36"/>
                          <w:szCs w:val="36"/>
                          <w14:textFill>
                            <w14:solidFill>
                              <w14:schemeClr w14:val="tx1"/>
                            </w14:solidFill>
                          </w14:textFill>
                        </w:rPr>
                      </w:pPr>
                      <w:r>
                        <w:rPr>
                          <w:rFonts w:hint="default" w:ascii="Times New Roman" w:hAnsi="Times New Roman" w:eastAsia="仿宋" w:cs="Times New Roman"/>
                          <w:b/>
                          <w:color w:val="000000" w:themeColor="text1"/>
                          <w:sz w:val="36"/>
                          <w:szCs w:val="36"/>
                          <w:lang w:eastAsia="zh-CN"/>
                          <w14:textFill>
                            <w14:solidFill>
                              <w14:schemeClr w14:val="tx1"/>
                            </w14:solidFill>
                          </w14:textFill>
                        </w:rPr>
                        <w:t>债权清算价值分析报告</w:t>
                      </w:r>
                    </w:p>
                    <w:p>
                      <w:pPr>
                        <w:tabs>
                          <w:tab w:val="left" w:pos="0"/>
                        </w:tabs>
                        <w:spacing w:line="240" w:lineRule="auto"/>
                        <w:ind w:firstLine="0"/>
                        <w:jc w:val="center"/>
                        <w:outlineLvl w:val="0"/>
                        <w:rPr>
                          <w:rFonts w:hint="default" w:ascii="Times New Roman" w:hAnsi="Times New Roman" w:eastAsia="仿宋_GB2312" w:cs="Times New Roman"/>
                          <w:b/>
                          <w:spacing w:val="10"/>
                          <w:szCs w:val="24"/>
                        </w:rPr>
                      </w:pPr>
                    </w:p>
                    <w:p>
                      <w:pPr>
                        <w:tabs>
                          <w:tab w:val="left" w:pos="0"/>
                        </w:tabs>
                        <w:spacing w:line="240" w:lineRule="auto"/>
                        <w:ind w:firstLine="0"/>
                        <w:jc w:val="center"/>
                        <w:outlineLvl w:val="0"/>
                        <w:rPr>
                          <w:rFonts w:hint="default" w:ascii="Times New Roman" w:hAnsi="Times New Roman" w:eastAsia="仿宋_GB2312" w:cs="Times New Roman"/>
                          <w:b/>
                          <w:spacing w:val="10"/>
                          <w:szCs w:val="24"/>
                          <w:lang w:eastAsia="zh-CN"/>
                        </w:rPr>
                      </w:pPr>
                      <w:r>
                        <w:rPr>
                          <w:rFonts w:hint="eastAsia" w:eastAsia="仿宋_GB2312" w:cs="Times New Roman"/>
                          <w:b/>
                          <w:spacing w:val="10"/>
                          <w:szCs w:val="24"/>
                          <w:lang w:eastAsia="zh-CN"/>
                        </w:rPr>
                        <w:t>天地恒安[</w:t>
                      </w:r>
                      <w:r>
                        <w:rPr>
                          <w:rFonts w:hint="eastAsia" w:eastAsia="仿宋_GB2312" w:cs="Times New Roman"/>
                          <w:b/>
                          <w:spacing w:val="10"/>
                          <w:szCs w:val="24"/>
                          <w:lang w:eastAsia="zh-CN"/>
                        </w:rPr>
                        <w:t>2025</w:t>
                      </w:r>
                      <w:r>
                        <w:rPr>
                          <w:rFonts w:hint="eastAsia" w:eastAsia="仿宋_GB2312" w:cs="Times New Roman"/>
                          <w:b/>
                          <w:spacing w:val="10"/>
                          <w:szCs w:val="24"/>
                          <w:lang w:eastAsia="zh-CN"/>
                        </w:rPr>
                        <w:t>]资评咨字第</w:t>
                      </w:r>
                      <w:r>
                        <w:rPr>
                          <w:rFonts w:hint="eastAsia" w:eastAsia="仿宋_GB2312" w:cs="Times New Roman"/>
                          <w:b/>
                          <w:spacing w:val="10"/>
                          <w:szCs w:val="24"/>
                          <w:lang w:eastAsia="zh-CN"/>
                        </w:rPr>
                        <w:t>1017</w:t>
                      </w:r>
                      <w:r>
                        <w:rPr>
                          <w:rFonts w:hint="eastAsia" w:eastAsia="仿宋_GB2312" w:cs="Times New Roman"/>
                          <w:b/>
                          <w:spacing w:val="10"/>
                          <w:szCs w:val="24"/>
                          <w:lang w:eastAsia="zh-CN"/>
                        </w:rPr>
                        <w:t>-</w:t>
                      </w:r>
                      <w:r>
                        <w:rPr>
                          <w:rFonts w:hint="eastAsia" w:eastAsia="仿宋_GB2312" w:cs="Times New Roman"/>
                          <w:b/>
                          <w:spacing w:val="10"/>
                          <w:szCs w:val="24"/>
                          <w:lang w:eastAsia="zh-CN"/>
                        </w:rPr>
                        <w:t>4</w:t>
                      </w:r>
                      <w:r>
                        <w:rPr>
                          <w:rFonts w:hint="eastAsia" w:eastAsia="仿宋_GB2312" w:cs="Times New Roman"/>
                          <w:b/>
                          <w:spacing w:val="10"/>
                          <w:szCs w:val="24"/>
                          <w:lang w:eastAsia="zh-CN"/>
                        </w:rPr>
                        <w:t>号</w:t>
                      </w:r>
                    </w:p>
                    <w:p>
                      <w:pPr>
                        <w:pStyle w:val="2"/>
                        <w:ind w:left="480" w:firstLine="2891" w:firstLineChars="1200"/>
                        <w:rPr>
                          <w:rFonts w:hint="default" w:ascii="Times New Roman" w:hAnsi="Times New Roman" w:eastAsia="仿宋_GB2312" w:cs="Times New Roman"/>
                          <w:b/>
                          <w:color w:val="000000" w:themeColor="text1"/>
                          <w:szCs w:val="24"/>
                          <w14:textFill>
                            <w14:solidFill>
                              <w14:schemeClr w14:val="tx1"/>
                            </w14:solidFill>
                          </w14:textFill>
                        </w:rPr>
                      </w:pPr>
                    </w:p>
                    <w:p>
                      <w:pPr>
                        <w:pStyle w:val="2"/>
                        <w:ind w:left="480" w:firstLine="2560" w:firstLineChars="800"/>
                        <w:rPr>
                          <w:rFonts w:hint="default" w:ascii="Times New Roman" w:hAnsi="Times New Roman" w:eastAsia="仿宋_GB2312" w:cs="Times New Roman"/>
                          <w:sz w:val="32"/>
                          <w:szCs w:val="32"/>
                        </w:rPr>
                      </w:pPr>
                    </w:p>
                  </w:txbxContent>
                </v:textbox>
              </v:shape>
            </w:pict>
          </mc:Fallback>
        </mc:AlternateContent>
      </w:r>
    </w:p>
    <w:p w14:paraId="3C212845" w14:textId="77777777" w:rsidR="009C6F99" w:rsidRDefault="009C6F99">
      <w:pPr>
        <w:ind w:firstLine="480"/>
        <w:jc w:val="left"/>
        <w:rPr>
          <w:rFonts w:eastAsia="仿宋"/>
        </w:rPr>
      </w:pPr>
    </w:p>
    <w:p w14:paraId="5F12A38D" w14:textId="77777777" w:rsidR="009C6F99" w:rsidRDefault="009C6F99">
      <w:pPr>
        <w:ind w:leftChars="2014" w:left="4834" w:firstLine="480"/>
        <w:rPr>
          <w:rFonts w:eastAsia="仿宋"/>
          <w:b/>
          <w:sz w:val="32"/>
          <w:szCs w:val="32"/>
        </w:rPr>
      </w:pPr>
    </w:p>
    <w:p w14:paraId="691932CF" w14:textId="77777777" w:rsidR="009C6F99" w:rsidRDefault="009C6F99">
      <w:pPr>
        <w:ind w:firstLine="480"/>
        <w:jc w:val="center"/>
        <w:rPr>
          <w:rFonts w:eastAsia="仿宋"/>
          <w:spacing w:val="16"/>
          <w:sz w:val="36"/>
          <w:szCs w:val="36"/>
        </w:rPr>
      </w:pPr>
    </w:p>
    <w:p w14:paraId="06BF2032" w14:textId="77777777" w:rsidR="009C6F99" w:rsidRDefault="009C6F99">
      <w:pPr>
        <w:ind w:firstLineChars="200" w:firstLine="600"/>
        <w:rPr>
          <w:rFonts w:eastAsia="仿宋"/>
          <w:sz w:val="30"/>
        </w:rPr>
      </w:pPr>
    </w:p>
    <w:p w14:paraId="6D42CE57" w14:textId="77777777" w:rsidR="009C6F99" w:rsidRDefault="009C6F99">
      <w:pPr>
        <w:ind w:firstLine="480"/>
        <w:rPr>
          <w:rFonts w:eastAsia="仿宋"/>
        </w:rPr>
      </w:pPr>
    </w:p>
    <w:p w14:paraId="36F2D7F1" w14:textId="77777777" w:rsidR="009C6F99" w:rsidRDefault="009C6F99">
      <w:pPr>
        <w:tabs>
          <w:tab w:val="left" w:pos="0"/>
        </w:tabs>
        <w:ind w:firstLine="480"/>
        <w:rPr>
          <w:rFonts w:eastAsia="仿宋"/>
          <w:spacing w:val="10"/>
          <w:szCs w:val="24"/>
        </w:rPr>
      </w:pPr>
    </w:p>
    <w:p w14:paraId="1D53079A" w14:textId="77777777" w:rsidR="009C6F99" w:rsidRDefault="009C6F99">
      <w:pPr>
        <w:tabs>
          <w:tab w:val="left" w:pos="0"/>
        </w:tabs>
        <w:ind w:firstLine="480"/>
        <w:rPr>
          <w:rFonts w:eastAsia="仿宋"/>
          <w:spacing w:val="10"/>
          <w:szCs w:val="24"/>
        </w:rPr>
      </w:pPr>
    </w:p>
    <w:p w14:paraId="15576AA0" w14:textId="77777777" w:rsidR="009C6F99" w:rsidRDefault="009C6F99">
      <w:pPr>
        <w:tabs>
          <w:tab w:val="left" w:pos="0"/>
        </w:tabs>
        <w:ind w:firstLine="480"/>
        <w:rPr>
          <w:rFonts w:eastAsia="仿宋"/>
          <w:spacing w:val="10"/>
          <w:szCs w:val="24"/>
        </w:rPr>
      </w:pPr>
    </w:p>
    <w:p w14:paraId="55A24122" w14:textId="77777777" w:rsidR="009C6F99" w:rsidRDefault="009C6F99">
      <w:pPr>
        <w:tabs>
          <w:tab w:val="left" w:pos="0"/>
        </w:tabs>
        <w:ind w:firstLine="480"/>
        <w:rPr>
          <w:rFonts w:eastAsia="仿宋"/>
          <w:spacing w:val="10"/>
          <w:szCs w:val="24"/>
        </w:rPr>
      </w:pPr>
    </w:p>
    <w:p w14:paraId="4CA99A5B" w14:textId="77777777" w:rsidR="009C6F99" w:rsidRDefault="009C6F99">
      <w:pPr>
        <w:tabs>
          <w:tab w:val="left" w:pos="0"/>
        </w:tabs>
        <w:ind w:firstLine="480"/>
        <w:rPr>
          <w:rFonts w:eastAsia="仿宋"/>
          <w:b/>
          <w:spacing w:val="10"/>
          <w:szCs w:val="24"/>
        </w:rPr>
      </w:pPr>
      <w:bookmarkStart w:id="0" w:name="OLE_LINK21"/>
    </w:p>
    <w:p w14:paraId="21936935" w14:textId="77777777" w:rsidR="009C6F99" w:rsidRDefault="009C6F99">
      <w:pPr>
        <w:tabs>
          <w:tab w:val="left" w:pos="0"/>
        </w:tabs>
        <w:ind w:firstLine="480"/>
        <w:rPr>
          <w:rFonts w:eastAsia="仿宋"/>
          <w:b/>
          <w:spacing w:val="10"/>
          <w:szCs w:val="24"/>
        </w:rPr>
      </w:pPr>
    </w:p>
    <w:p w14:paraId="2F37C90F" w14:textId="77777777" w:rsidR="009C6F99" w:rsidRDefault="009C6F99">
      <w:pPr>
        <w:tabs>
          <w:tab w:val="left" w:pos="0"/>
        </w:tabs>
        <w:ind w:firstLine="480"/>
        <w:rPr>
          <w:rFonts w:eastAsia="仿宋"/>
          <w:b/>
          <w:spacing w:val="10"/>
          <w:szCs w:val="24"/>
        </w:rPr>
      </w:pPr>
    </w:p>
    <w:p w14:paraId="0A28FDC6" w14:textId="77777777" w:rsidR="009C6F99" w:rsidRDefault="009C6F99">
      <w:pPr>
        <w:tabs>
          <w:tab w:val="left" w:pos="0"/>
        </w:tabs>
        <w:ind w:firstLine="480"/>
        <w:rPr>
          <w:rFonts w:eastAsia="仿宋"/>
          <w:b/>
          <w:spacing w:val="10"/>
          <w:szCs w:val="24"/>
        </w:rPr>
      </w:pPr>
    </w:p>
    <w:p w14:paraId="619C46AE" w14:textId="77777777" w:rsidR="009C6F99" w:rsidRDefault="009C6F99">
      <w:pPr>
        <w:tabs>
          <w:tab w:val="left" w:pos="0"/>
        </w:tabs>
        <w:ind w:firstLine="480"/>
        <w:rPr>
          <w:rFonts w:eastAsia="仿宋"/>
          <w:b/>
          <w:spacing w:val="10"/>
          <w:szCs w:val="24"/>
        </w:rPr>
      </w:pPr>
    </w:p>
    <w:p w14:paraId="4350726D" w14:textId="77777777" w:rsidR="009C6F99" w:rsidRDefault="009C6F99">
      <w:pPr>
        <w:tabs>
          <w:tab w:val="left" w:pos="0"/>
        </w:tabs>
        <w:ind w:firstLine="480"/>
        <w:rPr>
          <w:rFonts w:eastAsia="仿宋"/>
          <w:b/>
          <w:spacing w:val="10"/>
          <w:szCs w:val="24"/>
        </w:rPr>
      </w:pPr>
    </w:p>
    <w:p w14:paraId="0042AB0D" w14:textId="77777777" w:rsidR="009C6F99" w:rsidRDefault="009C6F99">
      <w:pPr>
        <w:tabs>
          <w:tab w:val="left" w:pos="0"/>
        </w:tabs>
        <w:ind w:firstLine="480"/>
        <w:rPr>
          <w:rFonts w:eastAsia="仿宋"/>
          <w:b/>
          <w:spacing w:val="10"/>
          <w:szCs w:val="24"/>
        </w:rPr>
      </w:pPr>
    </w:p>
    <w:p w14:paraId="18A8B0F8" w14:textId="77777777" w:rsidR="009C6F99" w:rsidRDefault="009C6F99">
      <w:pPr>
        <w:tabs>
          <w:tab w:val="left" w:pos="0"/>
        </w:tabs>
        <w:ind w:firstLine="480"/>
        <w:rPr>
          <w:rFonts w:eastAsia="仿宋"/>
          <w:b/>
          <w:spacing w:val="10"/>
          <w:szCs w:val="24"/>
        </w:rPr>
      </w:pPr>
    </w:p>
    <w:p w14:paraId="1A99EA1F" w14:textId="77777777" w:rsidR="009C6F99" w:rsidRDefault="009C6F99">
      <w:pPr>
        <w:tabs>
          <w:tab w:val="left" w:pos="0"/>
        </w:tabs>
        <w:ind w:firstLine="480"/>
        <w:rPr>
          <w:rFonts w:eastAsia="仿宋"/>
          <w:b/>
          <w:spacing w:val="10"/>
          <w:szCs w:val="24"/>
        </w:rPr>
      </w:pPr>
    </w:p>
    <w:p w14:paraId="1DB768CF" w14:textId="77777777" w:rsidR="009C6F99" w:rsidRDefault="009C6F99">
      <w:pPr>
        <w:tabs>
          <w:tab w:val="left" w:pos="0"/>
        </w:tabs>
        <w:ind w:firstLine="480"/>
        <w:jc w:val="center"/>
        <w:rPr>
          <w:rFonts w:eastAsia="仿宋"/>
          <w:b/>
          <w:sz w:val="28"/>
          <w:szCs w:val="28"/>
        </w:rPr>
      </w:pPr>
    </w:p>
    <w:p w14:paraId="203C860E" w14:textId="77777777" w:rsidR="009C6F99" w:rsidRDefault="009C6F99">
      <w:pPr>
        <w:ind w:firstLine="0"/>
        <w:jc w:val="center"/>
        <w:rPr>
          <w:rFonts w:eastAsia="仿宋"/>
          <w:b/>
          <w:spacing w:val="10"/>
          <w:szCs w:val="24"/>
        </w:rPr>
      </w:pPr>
    </w:p>
    <w:p w14:paraId="4CEF7D42" w14:textId="77777777" w:rsidR="009C6F99" w:rsidRDefault="009C6F99">
      <w:pPr>
        <w:ind w:firstLine="0"/>
        <w:jc w:val="center"/>
        <w:rPr>
          <w:rFonts w:eastAsia="仿宋"/>
          <w:b/>
          <w:spacing w:val="10"/>
          <w:szCs w:val="24"/>
        </w:rPr>
      </w:pPr>
    </w:p>
    <w:p w14:paraId="1AA53355" w14:textId="77777777" w:rsidR="009C6F99" w:rsidRDefault="009C6F99">
      <w:pPr>
        <w:ind w:firstLine="0"/>
        <w:jc w:val="center"/>
        <w:rPr>
          <w:rFonts w:eastAsia="仿宋"/>
          <w:b/>
          <w:spacing w:val="10"/>
          <w:szCs w:val="24"/>
        </w:rPr>
      </w:pPr>
    </w:p>
    <w:p w14:paraId="4EAEFC00" w14:textId="77777777" w:rsidR="009C6F99" w:rsidRDefault="009C6F99">
      <w:pPr>
        <w:rPr>
          <w:rFonts w:eastAsia="仿宋"/>
        </w:rPr>
      </w:pPr>
    </w:p>
    <w:p w14:paraId="2A0667B7" w14:textId="77777777" w:rsidR="009C6F99" w:rsidRDefault="009C6F99">
      <w:pPr>
        <w:pStyle w:val="Textkrper-Erstzeileneinzug2"/>
        <w:ind w:left="480" w:firstLine="480"/>
      </w:pPr>
    </w:p>
    <w:p w14:paraId="52C5978B" w14:textId="77777777" w:rsidR="009C6F99" w:rsidRDefault="0045026B">
      <w:pPr>
        <w:tabs>
          <w:tab w:val="left" w:pos="0"/>
        </w:tabs>
        <w:ind w:firstLine="0"/>
        <w:jc w:val="center"/>
        <w:rPr>
          <w:rFonts w:eastAsia="仿宋"/>
          <w:b/>
          <w:spacing w:val="10"/>
          <w:szCs w:val="24"/>
        </w:rPr>
      </w:pPr>
      <w:r>
        <w:rPr>
          <w:rFonts w:eastAsia="仿宋"/>
          <w:b/>
          <w:sz w:val="28"/>
          <w:szCs w:val="28"/>
        </w:rPr>
        <w:t>江苏天地恒安房地产土地资产评估有限公司</w:t>
      </w:r>
    </w:p>
    <w:bookmarkEnd w:id="0"/>
    <w:p w14:paraId="015394F4" w14:textId="77777777" w:rsidR="009C6F99" w:rsidRDefault="0045026B">
      <w:pPr>
        <w:snapToGrid w:val="0"/>
        <w:ind w:firstLine="0"/>
        <w:jc w:val="center"/>
        <w:rPr>
          <w:rFonts w:eastAsia="仿宋"/>
          <w:b/>
          <w:sz w:val="28"/>
          <w:szCs w:val="28"/>
        </w:rPr>
      </w:pPr>
      <w:r>
        <w:rPr>
          <w:rFonts w:eastAsia="仿宋" w:hint="eastAsia"/>
          <w:b/>
          <w:sz w:val="28"/>
          <w:szCs w:val="28"/>
        </w:rPr>
        <w:t>二〇二五年十月十六日</w:t>
      </w:r>
    </w:p>
    <w:p w14:paraId="7E8605DD" w14:textId="77777777" w:rsidR="009C6F99" w:rsidRDefault="009C6F99">
      <w:pPr>
        <w:tabs>
          <w:tab w:val="left" w:pos="0"/>
        </w:tabs>
        <w:ind w:leftChars="200" w:left="480" w:firstLine="0"/>
        <w:jc w:val="center"/>
        <w:rPr>
          <w:rFonts w:eastAsia="仿宋"/>
          <w:szCs w:val="24"/>
        </w:rPr>
        <w:sectPr w:rsidR="009C6F99">
          <w:headerReference w:type="even" r:id="rId8"/>
          <w:headerReference w:type="default" r:id="rId9"/>
          <w:footerReference w:type="even" r:id="rId10"/>
          <w:footerReference w:type="default" r:id="rId11"/>
          <w:headerReference w:type="first" r:id="rId12"/>
          <w:footerReference w:type="first" r:id="rId13"/>
          <w:pgSz w:w="11907" w:h="16840"/>
          <w:pgMar w:top="1247" w:right="1197" w:bottom="1247" w:left="1797" w:header="567" w:footer="516" w:gutter="0"/>
          <w:pgNumType w:start="0"/>
          <w:cols w:space="720"/>
          <w:docGrid w:linePitch="326"/>
        </w:sectPr>
      </w:pPr>
    </w:p>
    <w:p w14:paraId="769BFC73" w14:textId="77777777" w:rsidR="009C6F99" w:rsidRDefault="009C6F99">
      <w:pPr>
        <w:tabs>
          <w:tab w:val="left" w:pos="0"/>
        </w:tabs>
        <w:ind w:leftChars="200" w:left="480" w:firstLine="0"/>
        <w:jc w:val="center"/>
        <w:rPr>
          <w:rFonts w:eastAsia="仿宋"/>
          <w:szCs w:val="24"/>
        </w:rPr>
      </w:pPr>
    </w:p>
    <w:p w14:paraId="5930B53F" w14:textId="77777777" w:rsidR="009C6F99" w:rsidRDefault="0045026B">
      <w:pPr>
        <w:tabs>
          <w:tab w:val="left" w:pos="0"/>
        </w:tabs>
        <w:ind w:firstLine="0"/>
        <w:jc w:val="center"/>
        <w:rPr>
          <w:rFonts w:eastAsia="仿宋"/>
          <w:b/>
          <w:spacing w:val="10"/>
          <w:sz w:val="30"/>
        </w:rPr>
      </w:pPr>
      <w:bookmarkStart w:id="1" w:name="目录"/>
      <w:r>
        <w:rPr>
          <w:rFonts w:eastAsia="仿宋"/>
          <w:b/>
          <w:spacing w:val="10"/>
          <w:sz w:val="30"/>
        </w:rPr>
        <w:t>目</w:t>
      </w:r>
      <w:r>
        <w:rPr>
          <w:rFonts w:eastAsia="仿宋"/>
          <w:b/>
          <w:spacing w:val="10"/>
          <w:sz w:val="30"/>
        </w:rPr>
        <w:t xml:space="preserve">  </w:t>
      </w:r>
      <w:r>
        <w:rPr>
          <w:rFonts w:eastAsia="仿宋"/>
          <w:b/>
          <w:spacing w:val="10"/>
          <w:sz w:val="30"/>
        </w:rPr>
        <w:t>录</w:t>
      </w:r>
      <w:bookmarkEnd w:id="1"/>
    </w:p>
    <w:p w14:paraId="3CA61A43" w14:textId="689DD21A" w:rsidR="009C6F99" w:rsidRDefault="0045026B">
      <w:pPr>
        <w:pStyle w:val="Verzeichnis1"/>
        <w:tabs>
          <w:tab w:val="clear" w:pos="8505"/>
          <w:tab w:val="right" w:leader="dot" w:pos="8913"/>
        </w:tabs>
        <w:rPr>
          <w:rFonts w:ascii="Times New Roman" w:hAnsi="Times New Roman"/>
          <w:noProof/>
        </w:rPr>
      </w:pPr>
      <w:r>
        <w:rPr>
          <w:rFonts w:ascii="Times New Roman" w:hAnsi="Times New Roman"/>
        </w:rPr>
        <w:fldChar w:fldCharType="begin"/>
      </w:r>
      <w:r>
        <w:rPr>
          <w:rFonts w:ascii="Times New Roman" w:hAnsi="Times New Roman"/>
        </w:rPr>
        <w:instrText xml:space="preserve"> TOC \o "1-3" </w:instrText>
      </w:r>
      <w:r>
        <w:rPr>
          <w:rFonts w:ascii="Times New Roman" w:hAnsi="Times New Roman"/>
        </w:rPr>
        <w:fldChar w:fldCharType="separate"/>
      </w:r>
      <w:r>
        <w:rPr>
          <w:rFonts w:ascii="Times New Roman" w:hAnsi="Times New Roman"/>
          <w:noProof/>
          <w:szCs w:val="36"/>
        </w:rPr>
        <w:t>声</w:t>
      </w:r>
      <w:r>
        <w:rPr>
          <w:rFonts w:ascii="Times New Roman" w:hAnsi="Times New Roman"/>
          <w:noProof/>
          <w:szCs w:val="36"/>
        </w:rPr>
        <w:t xml:space="preserve">  </w:t>
      </w:r>
      <w:r>
        <w:rPr>
          <w:rFonts w:ascii="Times New Roman" w:hAnsi="Times New Roman"/>
          <w:noProof/>
          <w:szCs w:val="36"/>
        </w:rPr>
        <w:t>明</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_Toc10628 \h </w:instrText>
      </w:r>
      <w:r>
        <w:rPr>
          <w:rFonts w:ascii="Times New Roman" w:hAnsi="Times New Roman"/>
          <w:noProof/>
        </w:rPr>
      </w:r>
      <w:r>
        <w:rPr>
          <w:rFonts w:ascii="Times New Roman" w:hAnsi="Times New Roman"/>
          <w:noProof/>
        </w:rPr>
        <w:fldChar w:fldCharType="separate"/>
      </w:r>
      <w:r>
        <w:rPr>
          <w:rFonts w:ascii="Times New Roman" w:hAnsi="Times New Roman"/>
          <w:noProof/>
        </w:rPr>
        <w:t>1</w:t>
      </w:r>
      <w:r>
        <w:rPr>
          <w:rFonts w:ascii="Times New Roman" w:hAnsi="Times New Roman"/>
          <w:noProof/>
        </w:rPr>
        <w:fldChar w:fldCharType="end"/>
      </w:r>
    </w:p>
    <w:p w14:paraId="4B4A5727" w14:textId="454F669A" w:rsidR="009C6F99" w:rsidRDefault="0045026B">
      <w:pPr>
        <w:pStyle w:val="Verzeichnis1"/>
        <w:tabs>
          <w:tab w:val="clear" w:pos="8505"/>
          <w:tab w:val="right" w:leader="dot" w:pos="8913"/>
        </w:tabs>
        <w:rPr>
          <w:rFonts w:ascii="Times New Roman" w:hAnsi="Times New Roman"/>
          <w:noProof/>
        </w:rPr>
      </w:pPr>
      <w:r>
        <w:rPr>
          <w:rFonts w:ascii="Times New Roman" w:hAnsi="Times New Roman"/>
          <w:noProof/>
        </w:rPr>
        <w:t>价值分析报告摘要</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_Toc4530 \h </w:instrText>
      </w:r>
      <w:r>
        <w:rPr>
          <w:rFonts w:ascii="Times New Roman" w:hAnsi="Times New Roman"/>
          <w:noProof/>
        </w:rPr>
      </w:r>
      <w:r>
        <w:rPr>
          <w:rFonts w:ascii="Times New Roman" w:hAnsi="Times New Roman"/>
          <w:noProof/>
        </w:rPr>
        <w:fldChar w:fldCharType="separate"/>
      </w:r>
      <w:r>
        <w:rPr>
          <w:rFonts w:ascii="Times New Roman" w:hAnsi="Times New Roman"/>
          <w:noProof/>
        </w:rPr>
        <w:t>2</w:t>
      </w:r>
      <w:r>
        <w:rPr>
          <w:rFonts w:ascii="Times New Roman" w:hAnsi="Times New Roman"/>
          <w:noProof/>
        </w:rPr>
        <w:fldChar w:fldCharType="end"/>
      </w:r>
    </w:p>
    <w:p w14:paraId="7DFE52B3" w14:textId="6F92651F" w:rsidR="009C6F99" w:rsidRDefault="0045026B">
      <w:pPr>
        <w:pStyle w:val="Verzeichnis1"/>
        <w:tabs>
          <w:tab w:val="clear" w:pos="8505"/>
          <w:tab w:val="right" w:leader="dot" w:pos="8913"/>
        </w:tabs>
        <w:rPr>
          <w:rFonts w:ascii="Times New Roman" w:hAnsi="Times New Roman"/>
          <w:noProof/>
        </w:rPr>
      </w:pPr>
      <w:r>
        <w:rPr>
          <w:rFonts w:ascii="Times New Roman" w:hAnsi="Times New Roman"/>
          <w:noProof/>
        </w:rPr>
        <w:t>价值</w:t>
      </w:r>
      <w:r>
        <w:rPr>
          <w:rFonts w:ascii="Times New Roman" w:hAnsi="Times New Roman"/>
          <w:noProof/>
        </w:rPr>
        <w:t>分析报告</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_Toc27400 \h </w:instrText>
      </w:r>
      <w:r>
        <w:rPr>
          <w:rFonts w:ascii="Times New Roman" w:hAnsi="Times New Roman"/>
          <w:noProof/>
        </w:rPr>
      </w:r>
      <w:r>
        <w:rPr>
          <w:rFonts w:ascii="Times New Roman" w:hAnsi="Times New Roman"/>
          <w:noProof/>
        </w:rPr>
        <w:fldChar w:fldCharType="separate"/>
      </w:r>
      <w:r>
        <w:rPr>
          <w:rFonts w:ascii="Times New Roman" w:hAnsi="Times New Roman"/>
          <w:noProof/>
        </w:rPr>
        <w:t>4</w:t>
      </w:r>
      <w:r>
        <w:rPr>
          <w:rFonts w:ascii="Times New Roman" w:hAnsi="Times New Roman"/>
          <w:noProof/>
        </w:rPr>
        <w:fldChar w:fldCharType="end"/>
      </w:r>
    </w:p>
    <w:p w14:paraId="20B78D92" w14:textId="15A80616" w:rsidR="009C6F99" w:rsidRDefault="0045026B">
      <w:pPr>
        <w:pStyle w:val="Verzeichnis2"/>
        <w:tabs>
          <w:tab w:val="clear" w:pos="1050"/>
          <w:tab w:val="clear" w:pos="8505"/>
          <w:tab w:val="right" w:leader="dot" w:pos="8913"/>
        </w:tabs>
        <w:rPr>
          <w:noProof/>
        </w:rPr>
      </w:pPr>
      <w:r>
        <w:rPr>
          <w:rFonts w:eastAsia="仿宋"/>
          <w:noProof/>
          <w:spacing w:val="-10"/>
          <w:szCs w:val="28"/>
        </w:rPr>
        <w:t>一、</w:t>
      </w:r>
      <w:r>
        <w:rPr>
          <w:rFonts w:eastAsia="仿宋"/>
          <w:noProof/>
          <w:szCs w:val="28"/>
        </w:rPr>
        <w:t>委托人</w:t>
      </w:r>
      <w:r>
        <w:rPr>
          <w:rFonts w:eastAsia="仿宋"/>
          <w:noProof/>
          <w:szCs w:val="28"/>
        </w:rPr>
        <w:t>、</w:t>
      </w:r>
      <w:r>
        <w:rPr>
          <w:rFonts w:eastAsia="仿宋"/>
          <w:noProof/>
          <w:szCs w:val="28"/>
        </w:rPr>
        <w:t>债务人及债务责任关联方简介</w:t>
      </w:r>
      <w:r>
        <w:rPr>
          <w:noProof/>
        </w:rPr>
        <w:tab/>
      </w:r>
      <w:r>
        <w:rPr>
          <w:noProof/>
        </w:rPr>
        <w:fldChar w:fldCharType="begin"/>
      </w:r>
      <w:r>
        <w:rPr>
          <w:noProof/>
        </w:rPr>
        <w:instrText xml:space="preserve"> PAGEREF _Toc9297 \h </w:instrText>
      </w:r>
      <w:r>
        <w:rPr>
          <w:noProof/>
        </w:rPr>
      </w:r>
      <w:r>
        <w:rPr>
          <w:noProof/>
        </w:rPr>
        <w:fldChar w:fldCharType="separate"/>
      </w:r>
      <w:r>
        <w:rPr>
          <w:noProof/>
        </w:rPr>
        <w:t>4</w:t>
      </w:r>
      <w:r>
        <w:rPr>
          <w:noProof/>
        </w:rPr>
        <w:fldChar w:fldCharType="end"/>
      </w:r>
    </w:p>
    <w:p w14:paraId="3CBEED49" w14:textId="5AFD19E8" w:rsidR="009C6F99" w:rsidRDefault="0045026B">
      <w:pPr>
        <w:pStyle w:val="Verzeichnis2"/>
        <w:tabs>
          <w:tab w:val="clear" w:pos="1050"/>
          <w:tab w:val="clear" w:pos="8505"/>
          <w:tab w:val="right" w:leader="dot" w:pos="8913"/>
        </w:tabs>
        <w:rPr>
          <w:noProof/>
        </w:rPr>
      </w:pPr>
      <w:r>
        <w:rPr>
          <w:rFonts w:eastAsia="仿宋"/>
          <w:noProof/>
          <w:szCs w:val="28"/>
        </w:rPr>
        <w:t>二、价值分析目的</w:t>
      </w:r>
      <w:r>
        <w:rPr>
          <w:noProof/>
        </w:rPr>
        <w:tab/>
      </w:r>
      <w:r>
        <w:rPr>
          <w:noProof/>
        </w:rPr>
        <w:fldChar w:fldCharType="begin"/>
      </w:r>
      <w:r>
        <w:rPr>
          <w:noProof/>
        </w:rPr>
        <w:instrText xml:space="preserve"> PAGEREF _Toc30665 \h </w:instrText>
      </w:r>
      <w:r>
        <w:rPr>
          <w:noProof/>
        </w:rPr>
      </w:r>
      <w:r>
        <w:rPr>
          <w:noProof/>
        </w:rPr>
        <w:fldChar w:fldCharType="separate"/>
      </w:r>
      <w:r>
        <w:rPr>
          <w:noProof/>
        </w:rPr>
        <w:t>5</w:t>
      </w:r>
      <w:r>
        <w:rPr>
          <w:noProof/>
        </w:rPr>
        <w:fldChar w:fldCharType="end"/>
      </w:r>
    </w:p>
    <w:p w14:paraId="03A1DBCB" w14:textId="00D1547F" w:rsidR="009C6F99" w:rsidRDefault="0045026B">
      <w:pPr>
        <w:pStyle w:val="Verzeichnis2"/>
        <w:tabs>
          <w:tab w:val="clear" w:pos="1050"/>
          <w:tab w:val="clear" w:pos="8505"/>
          <w:tab w:val="right" w:leader="dot" w:pos="8913"/>
        </w:tabs>
        <w:rPr>
          <w:noProof/>
        </w:rPr>
      </w:pPr>
      <w:r>
        <w:rPr>
          <w:rFonts w:eastAsia="仿宋"/>
          <w:noProof/>
          <w:szCs w:val="28"/>
        </w:rPr>
        <w:t>三、价值分析对象和价值分析范围</w:t>
      </w:r>
      <w:r>
        <w:rPr>
          <w:noProof/>
        </w:rPr>
        <w:tab/>
      </w:r>
      <w:r>
        <w:rPr>
          <w:noProof/>
        </w:rPr>
        <w:fldChar w:fldCharType="begin"/>
      </w:r>
      <w:r>
        <w:rPr>
          <w:noProof/>
        </w:rPr>
        <w:instrText xml:space="preserve"> PAGEREF _Toc20955 \h </w:instrText>
      </w:r>
      <w:r>
        <w:rPr>
          <w:noProof/>
        </w:rPr>
      </w:r>
      <w:r>
        <w:rPr>
          <w:noProof/>
        </w:rPr>
        <w:fldChar w:fldCharType="separate"/>
      </w:r>
      <w:r>
        <w:rPr>
          <w:noProof/>
        </w:rPr>
        <w:t>5</w:t>
      </w:r>
      <w:r>
        <w:rPr>
          <w:noProof/>
        </w:rPr>
        <w:fldChar w:fldCharType="end"/>
      </w:r>
    </w:p>
    <w:p w14:paraId="7379BF27" w14:textId="07A3D203" w:rsidR="009C6F99" w:rsidRDefault="0045026B">
      <w:pPr>
        <w:pStyle w:val="Verzeichnis2"/>
        <w:tabs>
          <w:tab w:val="clear" w:pos="1050"/>
          <w:tab w:val="clear" w:pos="8505"/>
          <w:tab w:val="right" w:leader="dot" w:pos="8913"/>
        </w:tabs>
        <w:rPr>
          <w:noProof/>
        </w:rPr>
      </w:pPr>
      <w:r>
        <w:rPr>
          <w:rFonts w:eastAsia="仿宋"/>
          <w:noProof/>
          <w:szCs w:val="28"/>
        </w:rPr>
        <w:t>四、价值类型</w:t>
      </w:r>
      <w:r>
        <w:rPr>
          <w:noProof/>
        </w:rPr>
        <w:tab/>
      </w:r>
      <w:r>
        <w:rPr>
          <w:noProof/>
        </w:rPr>
        <w:fldChar w:fldCharType="begin"/>
      </w:r>
      <w:r>
        <w:rPr>
          <w:noProof/>
        </w:rPr>
        <w:instrText xml:space="preserve"> PAGEREF _Toc3814 \h </w:instrText>
      </w:r>
      <w:r>
        <w:rPr>
          <w:noProof/>
        </w:rPr>
      </w:r>
      <w:r>
        <w:rPr>
          <w:noProof/>
        </w:rPr>
        <w:fldChar w:fldCharType="separate"/>
      </w:r>
      <w:r>
        <w:rPr>
          <w:noProof/>
        </w:rPr>
        <w:t>5</w:t>
      </w:r>
      <w:r>
        <w:rPr>
          <w:noProof/>
        </w:rPr>
        <w:fldChar w:fldCharType="end"/>
      </w:r>
    </w:p>
    <w:p w14:paraId="20A73527" w14:textId="03902CD5" w:rsidR="009C6F99" w:rsidRDefault="0045026B">
      <w:pPr>
        <w:pStyle w:val="Verzeichnis2"/>
        <w:tabs>
          <w:tab w:val="clear" w:pos="1050"/>
          <w:tab w:val="clear" w:pos="8505"/>
          <w:tab w:val="right" w:leader="dot" w:pos="8913"/>
        </w:tabs>
        <w:rPr>
          <w:noProof/>
        </w:rPr>
      </w:pPr>
      <w:r>
        <w:rPr>
          <w:rFonts w:eastAsia="仿宋"/>
          <w:noProof/>
          <w:szCs w:val="28"/>
        </w:rPr>
        <w:t>五、价值分析基准日</w:t>
      </w:r>
      <w:r>
        <w:rPr>
          <w:noProof/>
        </w:rPr>
        <w:tab/>
      </w:r>
      <w:r>
        <w:rPr>
          <w:noProof/>
        </w:rPr>
        <w:fldChar w:fldCharType="begin"/>
      </w:r>
      <w:r>
        <w:rPr>
          <w:noProof/>
        </w:rPr>
        <w:instrText xml:space="preserve"> PAGEREF _Toc23539 \h </w:instrText>
      </w:r>
      <w:r>
        <w:rPr>
          <w:noProof/>
        </w:rPr>
      </w:r>
      <w:r>
        <w:rPr>
          <w:noProof/>
        </w:rPr>
        <w:fldChar w:fldCharType="separate"/>
      </w:r>
      <w:r>
        <w:rPr>
          <w:noProof/>
        </w:rPr>
        <w:t>6</w:t>
      </w:r>
      <w:r>
        <w:rPr>
          <w:noProof/>
        </w:rPr>
        <w:fldChar w:fldCharType="end"/>
      </w:r>
    </w:p>
    <w:p w14:paraId="49AEE7EB" w14:textId="2B154EC4" w:rsidR="009C6F99" w:rsidRDefault="0045026B">
      <w:pPr>
        <w:pStyle w:val="Verzeichnis2"/>
        <w:tabs>
          <w:tab w:val="clear" w:pos="1050"/>
          <w:tab w:val="clear" w:pos="8505"/>
          <w:tab w:val="right" w:leader="dot" w:pos="8913"/>
        </w:tabs>
        <w:rPr>
          <w:noProof/>
        </w:rPr>
      </w:pPr>
      <w:r>
        <w:rPr>
          <w:rFonts w:eastAsia="仿宋"/>
          <w:noProof/>
          <w:szCs w:val="28"/>
        </w:rPr>
        <w:t>六、价值分析思路和方法</w:t>
      </w:r>
      <w:r>
        <w:rPr>
          <w:noProof/>
        </w:rPr>
        <w:tab/>
      </w:r>
      <w:r>
        <w:rPr>
          <w:noProof/>
        </w:rPr>
        <w:fldChar w:fldCharType="begin"/>
      </w:r>
      <w:r>
        <w:rPr>
          <w:noProof/>
        </w:rPr>
        <w:instrText xml:space="preserve"> PAGEREF _Toc30321 \h </w:instrText>
      </w:r>
      <w:r>
        <w:rPr>
          <w:noProof/>
        </w:rPr>
      </w:r>
      <w:r>
        <w:rPr>
          <w:noProof/>
        </w:rPr>
        <w:fldChar w:fldCharType="separate"/>
      </w:r>
      <w:r>
        <w:rPr>
          <w:noProof/>
        </w:rPr>
        <w:t>6</w:t>
      </w:r>
      <w:r>
        <w:rPr>
          <w:noProof/>
        </w:rPr>
        <w:fldChar w:fldCharType="end"/>
      </w:r>
    </w:p>
    <w:p w14:paraId="5603F88A" w14:textId="7BF80403" w:rsidR="009C6F99" w:rsidRDefault="0045026B">
      <w:pPr>
        <w:pStyle w:val="Verzeichnis2"/>
        <w:tabs>
          <w:tab w:val="clear" w:pos="1050"/>
          <w:tab w:val="clear" w:pos="8505"/>
          <w:tab w:val="right" w:leader="dot" w:pos="8913"/>
        </w:tabs>
        <w:rPr>
          <w:noProof/>
        </w:rPr>
      </w:pPr>
      <w:r>
        <w:rPr>
          <w:rFonts w:eastAsia="仿宋"/>
          <w:noProof/>
          <w:szCs w:val="28"/>
        </w:rPr>
        <w:t>七、价值分析程序实施过程和情况</w:t>
      </w:r>
      <w:r>
        <w:rPr>
          <w:noProof/>
        </w:rPr>
        <w:tab/>
      </w:r>
      <w:r>
        <w:rPr>
          <w:noProof/>
        </w:rPr>
        <w:fldChar w:fldCharType="begin"/>
      </w:r>
      <w:r>
        <w:rPr>
          <w:noProof/>
        </w:rPr>
        <w:instrText xml:space="preserve"> PAGEREF _Toc14196 \h </w:instrText>
      </w:r>
      <w:r>
        <w:rPr>
          <w:noProof/>
        </w:rPr>
      </w:r>
      <w:r>
        <w:rPr>
          <w:noProof/>
        </w:rPr>
        <w:fldChar w:fldCharType="separate"/>
      </w:r>
      <w:r>
        <w:rPr>
          <w:noProof/>
        </w:rPr>
        <w:t>9</w:t>
      </w:r>
      <w:r>
        <w:rPr>
          <w:noProof/>
        </w:rPr>
        <w:fldChar w:fldCharType="end"/>
      </w:r>
    </w:p>
    <w:p w14:paraId="71629BA0" w14:textId="5B00F6E3" w:rsidR="009C6F99" w:rsidRDefault="0045026B">
      <w:pPr>
        <w:pStyle w:val="Verzeichnis2"/>
        <w:tabs>
          <w:tab w:val="clear" w:pos="1050"/>
          <w:tab w:val="clear" w:pos="8505"/>
          <w:tab w:val="right" w:leader="dot" w:pos="8913"/>
        </w:tabs>
        <w:rPr>
          <w:noProof/>
        </w:rPr>
      </w:pPr>
      <w:r>
        <w:rPr>
          <w:rFonts w:eastAsia="仿宋"/>
          <w:noProof/>
          <w:szCs w:val="28"/>
        </w:rPr>
        <w:t>八、价值分析假设</w:t>
      </w:r>
      <w:r>
        <w:rPr>
          <w:noProof/>
        </w:rPr>
        <w:tab/>
      </w:r>
      <w:r>
        <w:rPr>
          <w:noProof/>
        </w:rPr>
        <w:fldChar w:fldCharType="begin"/>
      </w:r>
      <w:r>
        <w:rPr>
          <w:noProof/>
        </w:rPr>
        <w:instrText xml:space="preserve"> PAGEREF _Toc17062 \h </w:instrText>
      </w:r>
      <w:r>
        <w:rPr>
          <w:noProof/>
        </w:rPr>
      </w:r>
      <w:r>
        <w:rPr>
          <w:noProof/>
        </w:rPr>
        <w:fldChar w:fldCharType="separate"/>
      </w:r>
      <w:r>
        <w:rPr>
          <w:noProof/>
        </w:rPr>
        <w:t>10</w:t>
      </w:r>
      <w:r>
        <w:rPr>
          <w:noProof/>
        </w:rPr>
        <w:fldChar w:fldCharType="end"/>
      </w:r>
    </w:p>
    <w:p w14:paraId="6EF92CA1" w14:textId="26DC26B2" w:rsidR="009C6F99" w:rsidRDefault="0045026B">
      <w:pPr>
        <w:pStyle w:val="Verzeichnis2"/>
        <w:tabs>
          <w:tab w:val="clear" w:pos="1050"/>
          <w:tab w:val="clear" w:pos="8505"/>
          <w:tab w:val="right" w:leader="dot" w:pos="8913"/>
        </w:tabs>
        <w:rPr>
          <w:noProof/>
        </w:rPr>
      </w:pPr>
      <w:r>
        <w:rPr>
          <w:rFonts w:eastAsia="仿宋"/>
          <w:noProof/>
        </w:rPr>
        <w:t>九、</w:t>
      </w:r>
      <w:r>
        <w:rPr>
          <w:rFonts w:eastAsia="仿宋"/>
          <w:noProof/>
          <w:szCs w:val="28"/>
        </w:rPr>
        <w:t>价值分析结论</w:t>
      </w:r>
      <w:r>
        <w:rPr>
          <w:noProof/>
        </w:rPr>
        <w:tab/>
      </w:r>
      <w:r>
        <w:rPr>
          <w:noProof/>
        </w:rPr>
        <w:fldChar w:fldCharType="begin"/>
      </w:r>
      <w:r>
        <w:rPr>
          <w:noProof/>
        </w:rPr>
        <w:instrText xml:space="preserve"> PAGEREF _Toc30541 \h </w:instrText>
      </w:r>
      <w:r>
        <w:rPr>
          <w:noProof/>
        </w:rPr>
      </w:r>
      <w:r>
        <w:rPr>
          <w:noProof/>
        </w:rPr>
        <w:fldChar w:fldCharType="separate"/>
      </w:r>
      <w:r>
        <w:rPr>
          <w:noProof/>
        </w:rPr>
        <w:t>11</w:t>
      </w:r>
      <w:r>
        <w:rPr>
          <w:noProof/>
        </w:rPr>
        <w:fldChar w:fldCharType="end"/>
      </w:r>
    </w:p>
    <w:p w14:paraId="6831FEB8" w14:textId="377096C4" w:rsidR="009C6F99" w:rsidRDefault="0045026B">
      <w:pPr>
        <w:pStyle w:val="Verzeichnis2"/>
        <w:tabs>
          <w:tab w:val="clear" w:pos="1050"/>
          <w:tab w:val="clear" w:pos="8505"/>
          <w:tab w:val="right" w:leader="dot" w:pos="8913"/>
        </w:tabs>
        <w:rPr>
          <w:noProof/>
        </w:rPr>
      </w:pPr>
      <w:r>
        <w:rPr>
          <w:rFonts w:eastAsia="仿宋"/>
          <w:noProof/>
        </w:rPr>
        <w:t>十、特别事项说明</w:t>
      </w:r>
      <w:r>
        <w:rPr>
          <w:noProof/>
        </w:rPr>
        <w:tab/>
      </w:r>
      <w:r>
        <w:rPr>
          <w:noProof/>
        </w:rPr>
        <w:fldChar w:fldCharType="begin"/>
      </w:r>
      <w:r>
        <w:rPr>
          <w:noProof/>
        </w:rPr>
        <w:instrText xml:space="preserve"> PAGEREF _Toc21458 \h </w:instrText>
      </w:r>
      <w:r>
        <w:rPr>
          <w:noProof/>
        </w:rPr>
      </w:r>
      <w:r>
        <w:rPr>
          <w:noProof/>
        </w:rPr>
        <w:fldChar w:fldCharType="separate"/>
      </w:r>
      <w:r>
        <w:rPr>
          <w:noProof/>
        </w:rPr>
        <w:t>12</w:t>
      </w:r>
      <w:r>
        <w:rPr>
          <w:noProof/>
        </w:rPr>
        <w:fldChar w:fldCharType="end"/>
      </w:r>
    </w:p>
    <w:p w14:paraId="6105B7C7" w14:textId="4C6C84C6" w:rsidR="009C6F99" w:rsidRDefault="0045026B">
      <w:pPr>
        <w:pStyle w:val="Verzeichnis2"/>
        <w:tabs>
          <w:tab w:val="clear" w:pos="1050"/>
          <w:tab w:val="clear" w:pos="8505"/>
          <w:tab w:val="right" w:leader="dot" w:pos="8913"/>
        </w:tabs>
        <w:rPr>
          <w:noProof/>
        </w:rPr>
      </w:pPr>
      <w:r>
        <w:rPr>
          <w:rFonts w:eastAsia="仿宋"/>
          <w:noProof/>
        </w:rPr>
        <w:t>十一、价值分析报告使用限制说明</w:t>
      </w:r>
      <w:r>
        <w:rPr>
          <w:noProof/>
        </w:rPr>
        <w:tab/>
      </w:r>
      <w:r>
        <w:rPr>
          <w:noProof/>
        </w:rPr>
        <w:fldChar w:fldCharType="begin"/>
      </w:r>
      <w:r>
        <w:rPr>
          <w:noProof/>
        </w:rPr>
        <w:instrText xml:space="preserve"> PAGEREF _Toc5964 \h </w:instrText>
      </w:r>
      <w:r>
        <w:rPr>
          <w:noProof/>
        </w:rPr>
      </w:r>
      <w:r>
        <w:rPr>
          <w:noProof/>
        </w:rPr>
        <w:fldChar w:fldCharType="separate"/>
      </w:r>
      <w:r>
        <w:rPr>
          <w:noProof/>
        </w:rPr>
        <w:t>13</w:t>
      </w:r>
      <w:r>
        <w:rPr>
          <w:noProof/>
        </w:rPr>
        <w:fldChar w:fldCharType="end"/>
      </w:r>
    </w:p>
    <w:p w14:paraId="33682C74" w14:textId="64304A2B" w:rsidR="009C6F99" w:rsidRDefault="0045026B">
      <w:pPr>
        <w:pStyle w:val="Verzeichnis2"/>
        <w:tabs>
          <w:tab w:val="clear" w:pos="1050"/>
          <w:tab w:val="clear" w:pos="8505"/>
          <w:tab w:val="right" w:leader="dot" w:pos="8913"/>
        </w:tabs>
        <w:rPr>
          <w:noProof/>
        </w:rPr>
      </w:pPr>
      <w:r>
        <w:rPr>
          <w:rFonts w:eastAsia="仿宋"/>
          <w:noProof/>
        </w:rPr>
        <w:t>十二、价值分析报告日</w:t>
      </w:r>
      <w:r>
        <w:rPr>
          <w:noProof/>
        </w:rPr>
        <w:tab/>
      </w:r>
      <w:r>
        <w:rPr>
          <w:noProof/>
        </w:rPr>
        <w:fldChar w:fldCharType="begin"/>
      </w:r>
      <w:r>
        <w:rPr>
          <w:noProof/>
        </w:rPr>
        <w:instrText xml:space="preserve"> PAGEREF _Toc10350 \h </w:instrText>
      </w:r>
      <w:r>
        <w:rPr>
          <w:noProof/>
        </w:rPr>
      </w:r>
      <w:r>
        <w:rPr>
          <w:noProof/>
        </w:rPr>
        <w:fldChar w:fldCharType="separate"/>
      </w:r>
      <w:r>
        <w:rPr>
          <w:noProof/>
        </w:rPr>
        <w:t>13</w:t>
      </w:r>
      <w:r>
        <w:rPr>
          <w:noProof/>
        </w:rPr>
        <w:fldChar w:fldCharType="end"/>
      </w:r>
    </w:p>
    <w:p w14:paraId="3E7E2BD7" w14:textId="5661476F" w:rsidR="009C6F99" w:rsidRDefault="0045026B">
      <w:pPr>
        <w:pStyle w:val="Verzeichnis2"/>
        <w:tabs>
          <w:tab w:val="clear" w:pos="1050"/>
          <w:tab w:val="clear" w:pos="8505"/>
          <w:tab w:val="right" w:leader="dot" w:pos="8913"/>
        </w:tabs>
        <w:rPr>
          <w:noProof/>
        </w:rPr>
      </w:pPr>
      <w:r>
        <w:rPr>
          <w:rFonts w:eastAsia="仿宋"/>
          <w:noProof/>
        </w:rPr>
        <w:t>十三、资产评估机构印章</w:t>
      </w:r>
      <w:r>
        <w:rPr>
          <w:noProof/>
        </w:rPr>
        <w:tab/>
      </w:r>
      <w:r>
        <w:rPr>
          <w:noProof/>
        </w:rPr>
        <w:fldChar w:fldCharType="begin"/>
      </w:r>
      <w:r>
        <w:rPr>
          <w:noProof/>
        </w:rPr>
        <w:instrText xml:space="preserve"> PAGEREF _Toc28227 \h </w:instrText>
      </w:r>
      <w:r>
        <w:rPr>
          <w:noProof/>
        </w:rPr>
      </w:r>
      <w:r>
        <w:rPr>
          <w:noProof/>
        </w:rPr>
        <w:fldChar w:fldCharType="separate"/>
      </w:r>
      <w:r>
        <w:rPr>
          <w:noProof/>
        </w:rPr>
        <w:t>13</w:t>
      </w:r>
      <w:r>
        <w:rPr>
          <w:noProof/>
        </w:rPr>
        <w:fldChar w:fldCharType="end"/>
      </w:r>
    </w:p>
    <w:p w14:paraId="0964BECF" w14:textId="71B22B4A" w:rsidR="009C6F99" w:rsidRDefault="0045026B">
      <w:pPr>
        <w:pStyle w:val="Verzeichnis1"/>
        <w:tabs>
          <w:tab w:val="clear" w:pos="8505"/>
          <w:tab w:val="right" w:leader="dot" w:pos="8913"/>
        </w:tabs>
        <w:rPr>
          <w:rFonts w:ascii="Times New Roman" w:hAnsi="Times New Roman"/>
          <w:noProof/>
        </w:rPr>
      </w:pPr>
      <w:r>
        <w:rPr>
          <w:rFonts w:ascii="Times New Roman" w:hAnsi="Times New Roman"/>
          <w:noProof/>
          <w:szCs w:val="30"/>
        </w:rPr>
        <w:t>价值分析</w:t>
      </w:r>
      <w:r>
        <w:rPr>
          <w:rFonts w:ascii="Times New Roman" w:hAnsi="Times New Roman"/>
          <w:noProof/>
          <w:szCs w:val="30"/>
        </w:rPr>
        <w:t>报告附件</w:t>
      </w:r>
      <w:r>
        <w:rPr>
          <w:rFonts w:ascii="Times New Roman" w:hAnsi="Times New Roman"/>
          <w:noProof/>
        </w:rPr>
        <w:tab/>
      </w:r>
      <w:r>
        <w:rPr>
          <w:rFonts w:ascii="Times New Roman" w:hAnsi="Times New Roman"/>
          <w:noProof/>
        </w:rPr>
        <w:fldChar w:fldCharType="begin"/>
      </w:r>
      <w:r>
        <w:rPr>
          <w:rFonts w:ascii="Times New Roman" w:hAnsi="Times New Roman"/>
          <w:noProof/>
        </w:rPr>
        <w:instrText xml:space="preserve"> PAGEREF _Toc19785 \h </w:instrText>
      </w:r>
      <w:r>
        <w:rPr>
          <w:rFonts w:ascii="Times New Roman" w:hAnsi="Times New Roman"/>
          <w:noProof/>
        </w:rPr>
      </w:r>
      <w:r>
        <w:rPr>
          <w:rFonts w:ascii="Times New Roman" w:hAnsi="Times New Roman"/>
          <w:noProof/>
        </w:rPr>
        <w:fldChar w:fldCharType="separate"/>
      </w:r>
      <w:r>
        <w:rPr>
          <w:rFonts w:ascii="Times New Roman" w:hAnsi="Times New Roman"/>
          <w:noProof/>
        </w:rPr>
        <w:t>14</w:t>
      </w:r>
      <w:r>
        <w:rPr>
          <w:rFonts w:ascii="Times New Roman" w:hAnsi="Times New Roman"/>
          <w:noProof/>
        </w:rPr>
        <w:fldChar w:fldCharType="end"/>
      </w:r>
    </w:p>
    <w:p w14:paraId="78F8CDA8" w14:textId="77777777" w:rsidR="009C6F99" w:rsidRDefault="0045026B">
      <w:pPr>
        <w:tabs>
          <w:tab w:val="left" w:pos="0"/>
        </w:tabs>
        <w:spacing w:before="120" w:after="120"/>
        <w:ind w:right="-12" w:firstLine="0"/>
        <w:rPr>
          <w:rFonts w:eastAsia="仿宋"/>
          <w:b/>
          <w:snapToGrid w:val="0"/>
          <w:kern w:val="0"/>
          <w:szCs w:val="24"/>
        </w:rPr>
      </w:pPr>
      <w:r>
        <w:rPr>
          <w:rFonts w:eastAsia="仿宋"/>
          <w:szCs w:val="24"/>
        </w:rPr>
        <w:fldChar w:fldCharType="end"/>
      </w:r>
    </w:p>
    <w:p w14:paraId="7BF6AAA7" w14:textId="77777777" w:rsidR="009C6F99" w:rsidRDefault="009C6F99">
      <w:pPr>
        <w:pStyle w:val="berschrift1"/>
        <w:spacing w:before="0" w:after="0" w:line="240" w:lineRule="auto"/>
        <w:ind w:firstLine="0"/>
        <w:jc w:val="center"/>
        <w:rPr>
          <w:rFonts w:ascii="Times New Roman" w:eastAsia="仿宋"/>
          <w:bCs/>
          <w:sz w:val="36"/>
          <w:szCs w:val="36"/>
        </w:rPr>
        <w:sectPr w:rsidR="009C6F99">
          <w:pgSz w:w="11907" w:h="16840"/>
          <w:pgMar w:top="1247" w:right="1197" w:bottom="1247" w:left="1797" w:header="567" w:footer="516" w:gutter="0"/>
          <w:pgNumType w:start="1"/>
          <w:cols w:space="720"/>
          <w:docGrid w:linePitch="326"/>
        </w:sectPr>
      </w:pPr>
      <w:bookmarkStart w:id="2" w:name="_Toc260992929"/>
      <w:bookmarkStart w:id="3" w:name="_Toc165180882"/>
      <w:bookmarkStart w:id="4" w:name="_Toc445967711"/>
      <w:bookmarkStart w:id="5" w:name="_Toc445967576"/>
      <w:bookmarkStart w:id="6" w:name="_Toc469811357"/>
      <w:bookmarkStart w:id="7" w:name="_Toc477429867"/>
    </w:p>
    <w:bookmarkStart w:id="8" w:name="_Toc10628"/>
    <w:p w14:paraId="40FDB5FD" w14:textId="49E7AEF1" w:rsidR="009C6F99" w:rsidRDefault="0045026B">
      <w:pPr>
        <w:pStyle w:val="berschrift1"/>
        <w:spacing w:before="0" w:after="0" w:line="240" w:lineRule="auto"/>
        <w:ind w:firstLine="0"/>
        <w:jc w:val="center"/>
        <w:rPr>
          <w:rFonts w:ascii="Times New Roman" w:eastAsia="仿宋"/>
          <w:bCs/>
          <w:sz w:val="36"/>
          <w:szCs w:val="36"/>
        </w:rPr>
      </w:pPr>
      <w:r>
        <w:rPr>
          <w:rFonts w:ascii="Times New Roman" w:eastAsia="仿宋"/>
          <w:bCs/>
          <w:sz w:val="36"/>
          <w:szCs w:val="36"/>
        </w:rPr>
        <w:lastRenderedPageBreak/>
        <w:fldChar w:fldCharType="begin"/>
      </w:r>
      <w:r>
        <w:rPr>
          <w:rFonts w:ascii="Times New Roman" w:eastAsia="仿宋"/>
          <w:bCs/>
          <w:sz w:val="36"/>
          <w:szCs w:val="36"/>
        </w:rPr>
        <w:instrText xml:space="preserve"> HYPERLINK  \l "</w:instrText>
      </w:r>
      <w:r>
        <w:rPr>
          <w:rFonts w:ascii="Times New Roman" w:eastAsia="仿宋"/>
          <w:bCs/>
          <w:sz w:val="36"/>
          <w:szCs w:val="36"/>
        </w:rPr>
        <w:instrText>目录</w:instrText>
      </w:r>
      <w:r>
        <w:rPr>
          <w:rFonts w:ascii="Times New Roman" w:eastAsia="仿宋"/>
          <w:bCs/>
          <w:sz w:val="36"/>
          <w:szCs w:val="36"/>
        </w:rPr>
        <w:instrText xml:space="preserve">" </w:instrText>
      </w:r>
      <w:r>
        <w:rPr>
          <w:rFonts w:ascii="Times New Roman" w:eastAsia="仿宋"/>
          <w:bCs/>
          <w:sz w:val="36"/>
          <w:szCs w:val="36"/>
        </w:rPr>
      </w:r>
      <w:r>
        <w:rPr>
          <w:rFonts w:ascii="Times New Roman" w:eastAsia="仿宋"/>
          <w:bCs/>
          <w:sz w:val="36"/>
          <w:szCs w:val="36"/>
        </w:rPr>
        <w:fldChar w:fldCharType="separate"/>
      </w:r>
      <w:r>
        <w:rPr>
          <w:rStyle w:val="BesuchterLink"/>
          <w:rFonts w:ascii="Times New Roman" w:eastAsia="仿宋"/>
          <w:bCs/>
          <w:color w:val="auto"/>
          <w:sz w:val="36"/>
          <w:szCs w:val="36"/>
          <w:u w:val="none"/>
        </w:rPr>
        <w:t>声</w:t>
      </w:r>
      <w:bookmarkStart w:id="9" w:name="_Hlt475689408"/>
      <w:bookmarkStart w:id="10" w:name="_Hlt475689927"/>
      <w:bookmarkEnd w:id="9"/>
      <w:bookmarkEnd w:id="10"/>
      <w:r>
        <w:rPr>
          <w:rStyle w:val="BesuchterLink"/>
          <w:rFonts w:ascii="Times New Roman" w:eastAsia="仿宋"/>
          <w:bCs/>
          <w:color w:val="auto"/>
          <w:sz w:val="36"/>
          <w:szCs w:val="36"/>
          <w:u w:val="none"/>
        </w:rPr>
        <w:t xml:space="preserve">  </w:t>
      </w:r>
      <w:r>
        <w:rPr>
          <w:rStyle w:val="BesuchterLink"/>
          <w:rFonts w:ascii="Times New Roman" w:eastAsia="仿宋"/>
          <w:bCs/>
          <w:color w:val="auto"/>
          <w:sz w:val="36"/>
          <w:szCs w:val="36"/>
          <w:u w:val="none"/>
        </w:rPr>
        <w:t>明</w:t>
      </w:r>
      <w:bookmarkEnd w:id="2"/>
      <w:r>
        <w:rPr>
          <w:rFonts w:ascii="Times New Roman" w:eastAsia="仿宋"/>
          <w:bCs/>
          <w:sz w:val="36"/>
          <w:szCs w:val="36"/>
        </w:rPr>
        <w:fldChar w:fldCharType="end"/>
      </w:r>
      <w:bookmarkEnd w:id="8"/>
    </w:p>
    <w:p w14:paraId="603B8559" w14:textId="77777777" w:rsidR="009C6F99" w:rsidRDefault="009C6F99">
      <w:pPr>
        <w:ind w:firstLineChars="200" w:firstLine="480"/>
        <w:rPr>
          <w:rFonts w:eastAsia="仿宋"/>
        </w:rPr>
      </w:pPr>
    </w:p>
    <w:p w14:paraId="66778A63" w14:textId="77777777" w:rsidR="009C6F99" w:rsidRDefault="0045026B">
      <w:pPr>
        <w:numPr>
          <w:ilvl w:val="0"/>
          <w:numId w:val="12"/>
        </w:numPr>
        <w:ind w:left="0" w:firstLineChars="200" w:firstLine="480"/>
        <w:rPr>
          <w:rFonts w:eastAsia="仿宋"/>
        </w:rPr>
      </w:pPr>
      <w:r>
        <w:rPr>
          <w:rFonts w:eastAsia="仿宋"/>
        </w:rPr>
        <w:t>我们在执行本价值分析业务中，恪守独立、客观和公正的原则，根据我们在执业过程中收集的资料，价值分析报告陈述的内容是客观的，并对价值分析结论合理性承担相应的法律责任。</w:t>
      </w:r>
    </w:p>
    <w:p w14:paraId="1304D6C1" w14:textId="77777777" w:rsidR="009C6F99" w:rsidRDefault="0045026B">
      <w:pPr>
        <w:numPr>
          <w:ilvl w:val="0"/>
          <w:numId w:val="12"/>
        </w:numPr>
        <w:ind w:left="0" w:firstLineChars="200" w:firstLine="480"/>
        <w:rPr>
          <w:rFonts w:eastAsia="仿宋"/>
        </w:rPr>
      </w:pPr>
      <w:r>
        <w:rPr>
          <w:rFonts w:eastAsia="仿宋"/>
        </w:rPr>
        <w:t>价值分析对象涉及的债权清单由委托人申报并经其签章确认；所提供资料的真实性、合法性、完整性，以及恰当使用价值分析报告是委托人和相关当事人的责任。</w:t>
      </w:r>
    </w:p>
    <w:p w14:paraId="3BAF54F9" w14:textId="77777777" w:rsidR="009C6F99" w:rsidRDefault="0045026B">
      <w:pPr>
        <w:numPr>
          <w:ilvl w:val="0"/>
          <w:numId w:val="12"/>
        </w:numPr>
        <w:ind w:left="0" w:firstLineChars="200" w:firstLine="480"/>
        <w:rPr>
          <w:rFonts w:eastAsia="仿宋"/>
        </w:rPr>
      </w:pPr>
      <w:r>
        <w:rPr>
          <w:rFonts w:eastAsia="仿宋"/>
        </w:rPr>
        <w:t>我们与价值分析报告中的价值分析对象没有现存或者预期的利益关系；与相关当事人没有现存或者预期的利益关系，对相关当事人不存在偏见。</w:t>
      </w:r>
    </w:p>
    <w:p w14:paraId="505BAA66" w14:textId="77777777" w:rsidR="009C6F99" w:rsidRDefault="0045026B">
      <w:pPr>
        <w:numPr>
          <w:ilvl w:val="0"/>
          <w:numId w:val="12"/>
        </w:numPr>
        <w:ind w:left="0" w:firstLineChars="200" w:firstLine="480"/>
        <w:rPr>
          <w:rFonts w:eastAsia="仿宋"/>
        </w:rPr>
      </w:pPr>
      <w:r>
        <w:rPr>
          <w:rFonts w:eastAsia="仿宋"/>
        </w:rPr>
        <w:t>我们已对价值分析对象及其所涉及资产的法律权属状况给予必然的关注，对价值分析对</w:t>
      </w:r>
      <w:r>
        <w:rPr>
          <w:rFonts w:eastAsia="仿宋"/>
        </w:rPr>
        <w:t>象及其所涉及资产的法律权属资料进行了查验，并对已经发现的问题进行了如实披露，且已提醒委托人及相关当事人完善产权以满足出具价值分析报告的要求。</w:t>
      </w:r>
    </w:p>
    <w:p w14:paraId="67A4F201" w14:textId="77777777" w:rsidR="009C6F99" w:rsidRDefault="0045026B">
      <w:pPr>
        <w:numPr>
          <w:ilvl w:val="0"/>
          <w:numId w:val="12"/>
        </w:numPr>
        <w:ind w:left="0" w:firstLineChars="200" w:firstLine="480"/>
        <w:rPr>
          <w:rFonts w:eastAsia="仿宋"/>
        </w:rPr>
      </w:pPr>
      <w:r>
        <w:rPr>
          <w:rFonts w:eastAsia="仿宋"/>
        </w:rPr>
        <w:t>价值分析结论是在受到一定限制条件下形成的专业意见，委托人和其他报告使用人应当知晓其作为参考依据的适用性不同于价值评估结论，不应当被认为是对金融不良资产处置时可实现价格的保证，委托人和其他报告使用人应当正确理解并恰当使用价值分析结论。</w:t>
      </w:r>
    </w:p>
    <w:p w14:paraId="3DE5003B" w14:textId="77777777" w:rsidR="009C6F99" w:rsidRDefault="0045026B">
      <w:pPr>
        <w:numPr>
          <w:ilvl w:val="0"/>
          <w:numId w:val="12"/>
        </w:numPr>
        <w:ind w:left="0" w:firstLineChars="200" w:firstLine="480"/>
        <w:rPr>
          <w:rFonts w:eastAsia="仿宋"/>
        </w:rPr>
      </w:pPr>
      <w:r>
        <w:rPr>
          <w:rFonts w:eastAsia="仿宋"/>
        </w:rPr>
        <w:t>我们出具的价值分析报告中的分析、判断和结论受价值分析报告中特别事项说明的限制，价值分析报告使用者应当充分考虑价值分析报告载明的分析结论使用提示、特别事项说明及其对价值分析结论的影响。</w:t>
      </w:r>
    </w:p>
    <w:p w14:paraId="1546B88B" w14:textId="77777777" w:rsidR="009C6F99" w:rsidRDefault="0045026B">
      <w:pPr>
        <w:rPr>
          <w:rFonts w:eastAsia="仿宋"/>
          <w:szCs w:val="24"/>
        </w:rPr>
      </w:pPr>
      <w:r>
        <w:rPr>
          <w:rFonts w:eastAsia="仿宋"/>
          <w:szCs w:val="24"/>
        </w:rPr>
        <w:br w:type="page"/>
      </w:r>
    </w:p>
    <w:p w14:paraId="55226F8E" w14:textId="77777777" w:rsidR="009C6F99" w:rsidRDefault="009C6F99">
      <w:pPr>
        <w:spacing w:line="60" w:lineRule="auto"/>
        <w:ind w:firstLine="0"/>
        <w:rPr>
          <w:rFonts w:eastAsia="仿宋"/>
          <w:b/>
          <w:sz w:val="36"/>
          <w:szCs w:val="36"/>
        </w:rPr>
      </w:pPr>
    </w:p>
    <w:p w14:paraId="251E8A3B" w14:textId="77777777" w:rsidR="009C6F99" w:rsidRDefault="0045026B">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1FA9C5A3" w14:textId="77777777" w:rsidR="009C6F99" w:rsidRDefault="0045026B">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李永超户</w:t>
      </w:r>
    </w:p>
    <w:p w14:paraId="4F0FCDA3" w14:textId="77777777" w:rsidR="009C6F99" w:rsidRDefault="0045026B">
      <w:pPr>
        <w:pStyle w:val="berschrift1"/>
        <w:spacing w:before="0" w:after="0" w:line="240" w:lineRule="auto"/>
        <w:ind w:firstLine="0"/>
        <w:jc w:val="center"/>
        <w:rPr>
          <w:rFonts w:ascii="Times New Roman" w:eastAsia="仿宋"/>
          <w:sz w:val="32"/>
          <w:szCs w:val="32"/>
        </w:rPr>
      </w:pPr>
      <w:bookmarkStart w:id="11" w:name="_Toc4530"/>
      <w:r>
        <w:rPr>
          <w:rFonts w:ascii="Times New Roman" w:eastAsia="仿宋"/>
          <w:sz w:val="32"/>
          <w:szCs w:val="32"/>
        </w:rPr>
        <w:t>债权清算价值分析报告摘要</w:t>
      </w:r>
      <w:bookmarkEnd w:id="11"/>
    </w:p>
    <w:bookmarkEnd w:id="3"/>
    <w:bookmarkEnd w:id="4"/>
    <w:bookmarkEnd w:id="5"/>
    <w:bookmarkEnd w:id="6"/>
    <w:bookmarkEnd w:id="7"/>
    <w:p w14:paraId="2C50D4BC" w14:textId="77777777" w:rsidR="009C6F99" w:rsidRDefault="0045026B">
      <w:pPr>
        <w:pBdr>
          <w:bottom w:val="single" w:sz="6" w:space="1" w:color="auto"/>
        </w:pBdr>
        <w:spacing w:beforeLines="100" w:before="240" w:afterLines="50" w:after="120"/>
        <w:ind w:firstLine="0"/>
        <w:jc w:val="center"/>
        <w:rPr>
          <w:rFonts w:eastAsia="仿宋"/>
          <w:b/>
          <w:szCs w:val="32"/>
        </w:rPr>
      </w:pPr>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1017-4</w:t>
      </w:r>
      <w:r>
        <w:rPr>
          <w:rFonts w:eastAsia="仿宋" w:hint="eastAsia"/>
          <w:b/>
          <w:szCs w:val="32"/>
        </w:rPr>
        <w:t>号</w:t>
      </w:r>
    </w:p>
    <w:p w14:paraId="33FE0711" w14:textId="77777777" w:rsidR="009C6F99" w:rsidRDefault="0045026B">
      <w:pPr>
        <w:ind w:firstLineChars="200" w:firstLine="480"/>
        <w:rPr>
          <w:rFonts w:eastAsia="仿宋"/>
          <w:szCs w:val="24"/>
        </w:rPr>
      </w:pPr>
      <w:r>
        <w:rPr>
          <w:rFonts w:eastAsia="仿宋"/>
          <w:szCs w:val="24"/>
        </w:rPr>
        <w:t>江苏天地恒安房地产土地资产评估有限公司接受</w:t>
      </w:r>
      <w:r>
        <w:rPr>
          <w:rFonts w:eastAsia="仿宋"/>
          <w:szCs w:val="24"/>
        </w:rPr>
        <w:t>中国工商银行股份有限公司苏州分行</w:t>
      </w:r>
      <w:r>
        <w:rPr>
          <w:rFonts w:eastAsia="仿宋"/>
          <w:szCs w:val="24"/>
        </w:rPr>
        <w:t>的委托，坚持独立、客观、公正的原则，采用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李永超户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3361D7B1" w14:textId="77777777" w:rsidR="009C6F99" w:rsidRDefault="0045026B">
      <w:pPr>
        <w:numPr>
          <w:ilvl w:val="0"/>
          <w:numId w:val="13"/>
        </w:numPr>
        <w:tabs>
          <w:tab w:val="left" w:pos="0"/>
        </w:tabs>
        <w:ind w:firstLineChars="200" w:firstLine="482"/>
        <w:rPr>
          <w:rFonts w:eastAsia="仿宋"/>
          <w:b/>
          <w:szCs w:val="24"/>
        </w:rPr>
      </w:pPr>
      <w:r>
        <w:rPr>
          <w:rFonts w:eastAsia="仿宋"/>
          <w:b/>
          <w:bCs/>
          <w:szCs w:val="24"/>
        </w:rPr>
        <w:t>价值分析目的</w:t>
      </w:r>
    </w:p>
    <w:p w14:paraId="4B9C63D6" w14:textId="77777777" w:rsidR="009C6F99" w:rsidRDefault="0045026B">
      <w:pPr>
        <w:ind w:firstLineChars="200" w:firstLine="480"/>
        <w:rPr>
          <w:rFonts w:eastAsia="仿宋"/>
          <w:szCs w:val="24"/>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李永超户</w:t>
      </w:r>
      <w:r>
        <w:rPr>
          <w:rFonts w:eastAsia="仿宋"/>
          <w:szCs w:val="24"/>
        </w:rPr>
        <w:t>债权资产的清算价值进行价值分析，为委托人提供价值参考。</w:t>
      </w:r>
    </w:p>
    <w:p w14:paraId="49AEEDF8" w14:textId="77777777" w:rsidR="009C6F99" w:rsidRDefault="0045026B">
      <w:pPr>
        <w:numPr>
          <w:ilvl w:val="0"/>
          <w:numId w:val="13"/>
        </w:numPr>
        <w:tabs>
          <w:tab w:val="left" w:pos="0"/>
        </w:tabs>
        <w:ind w:firstLineChars="200" w:firstLine="482"/>
        <w:rPr>
          <w:rFonts w:eastAsia="仿宋"/>
          <w:b/>
          <w:szCs w:val="24"/>
        </w:rPr>
      </w:pPr>
      <w:r>
        <w:rPr>
          <w:rFonts w:eastAsia="仿宋"/>
          <w:b/>
          <w:szCs w:val="24"/>
        </w:rPr>
        <w:t>价值分析对象</w:t>
      </w:r>
    </w:p>
    <w:p w14:paraId="56EC2C24" w14:textId="77777777" w:rsidR="009C6F99" w:rsidRDefault="0045026B">
      <w:pPr>
        <w:autoSpaceDE w:val="0"/>
        <w:autoSpaceDN w:val="0"/>
        <w:adjustRightInd w:val="0"/>
        <w:ind w:firstLineChars="200" w:firstLine="480"/>
        <w:rPr>
          <w:rFonts w:eastAsia="仿宋"/>
          <w:szCs w:val="24"/>
        </w:rPr>
      </w:pPr>
      <w:r>
        <w:rPr>
          <w:rFonts w:eastAsia="仿宋"/>
          <w:szCs w:val="24"/>
        </w:rPr>
        <w:t>本项目的价值分析对象为单项资产</w:t>
      </w:r>
      <w:r>
        <w:rPr>
          <w:rFonts w:eastAsia="仿宋"/>
        </w:rPr>
        <w:t>。</w:t>
      </w:r>
    </w:p>
    <w:p w14:paraId="3D66543E" w14:textId="77777777" w:rsidR="009C6F99" w:rsidRDefault="0045026B">
      <w:pPr>
        <w:numPr>
          <w:ilvl w:val="0"/>
          <w:numId w:val="13"/>
        </w:numPr>
        <w:tabs>
          <w:tab w:val="left" w:pos="0"/>
        </w:tabs>
        <w:ind w:firstLineChars="200" w:firstLine="482"/>
        <w:rPr>
          <w:rFonts w:eastAsia="仿宋"/>
          <w:b/>
          <w:szCs w:val="24"/>
        </w:rPr>
      </w:pPr>
      <w:r>
        <w:rPr>
          <w:rFonts w:eastAsia="仿宋"/>
          <w:b/>
          <w:szCs w:val="24"/>
        </w:rPr>
        <w:t>价值分析范围</w:t>
      </w:r>
    </w:p>
    <w:p w14:paraId="19BAAF55" w14:textId="77777777" w:rsidR="009C6F99" w:rsidRDefault="0045026B">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李永超户</w:t>
      </w:r>
      <w:r>
        <w:rPr>
          <w:rFonts w:eastAsia="仿宋"/>
          <w:szCs w:val="24"/>
        </w:rPr>
        <w:t>债权资产。</w:t>
      </w:r>
    </w:p>
    <w:p w14:paraId="29E51D6E" w14:textId="77777777" w:rsidR="009C6F99" w:rsidRDefault="0045026B">
      <w:pPr>
        <w:numPr>
          <w:ilvl w:val="0"/>
          <w:numId w:val="13"/>
        </w:numPr>
        <w:tabs>
          <w:tab w:val="left" w:pos="0"/>
        </w:tabs>
        <w:ind w:firstLineChars="200" w:firstLine="482"/>
        <w:rPr>
          <w:rFonts w:eastAsia="仿宋"/>
          <w:b/>
          <w:szCs w:val="24"/>
        </w:rPr>
      </w:pPr>
      <w:r>
        <w:rPr>
          <w:rFonts w:eastAsia="仿宋"/>
          <w:b/>
          <w:szCs w:val="24"/>
        </w:rPr>
        <w:t>价值类型</w:t>
      </w:r>
    </w:p>
    <w:p w14:paraId="55A6DEB9" w14:textId="77777777" w:rsidR="009C6F99" w:rsidRDefault="0045026B">
      <w:pPr>
        <w:autoSpaceDE w:val="0"/>
        <w:autoSpaceDN w:val="0"/>
        <w:adjustRightInd w:val="0"/>
        <w:ind w:firstLineChars="200" w:firstLine="480"/>
        <w:rPr>
          <w:rFonts w:eastAsia="仿宋"/>
          <w:szCs w:val="24"/>
        </w:rPr>
      </w:pPr>
      <w:r>
        <w:rPr>
          <w:rFonts w:eastAsia="仿宋"/>
          <w:szCs w:val="24"/>
        </w:rPr>
        <w:t>清算</w:t>
      </w:r>
      <w:r>
        <w:rPr>
          <w:rFonts w:eastAsia="仿宋"/>
          <w:szCs w:val="24"/>
        </w:rPr>
        <w:t>价值。</w:t>
      </w:r>
    </w:p>
    <w:p w14:paraId="7DBB5045" w14:textId="77777777" w:rsidR="009C6F99" w:rsidRDefault="0045026B">
      <w:pPr>
        <w:numPr>
          <w:ilvl w:val="0"/>
          <w:numId w:val="13"/>
        </w:numPr>
        <w:tabs>
          <w:tab w:val="left" w:pos="0"/>
        </w:tabs>
        <w:ind w:firstLineChars="200" w:firstLine="482"/>
        <w:rPr>
          <w:rFonts w:eastAsia="仿宋"/>
          <w:b/>
          <w:szCs w:val="24"/>
        </w:rPr>
      </w:pPr>
      <w:r>
        <w:rPr>
          <w:rFonts w:eastAsia="仿宋"/>
          <w:b/>
          <w:szCs w:val="24"/>
        </w:rPr>
        <w:t>价值分析基准日</w:t>
      </w:r>
    </w:p>
    <w:p w14:paraId="16036AF1" w14:textId="77777777" w:rsidR="009C6F99" w:rsidRDefault="0045026B">
      <w:pPr>
        <w:tabs>
          <w:tab w:val="left" w:pos="0"/>
        </w:tabs>
        <w:ind w:firstLineChars="200" w:firstLine="480"/>
        <w:rPr>
          <w:rFonts w:eastAsia="仿宋"/>
          <w:szCs w:val="24"/>
        </w:rPr>
      </w:pP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1C2A6D67" w14:textId="77777777" w:rsidR="009C6F99" w:rsidRDefault="0045026B">
      <w:pPr>
        <w:numPr>
          <w:ilvl w:val="0"/>
          <w:numId w:val="13"/>
        </w:numPr>
        <w:tabs>
          <w:tab w:val="left" w:pos="0"/>
        </w:tabs>
        <w:ind w:firstLineChars="200" w:firstLine="482"/>
        <w:rPr>
          <w:rFonts w:eastAsia="仿宋"/>
          <w:b/>
          <w:szCs w:val="24"/>
        </w:rPr>
      </w:pPr>
      <w:r>
        <w:rPr>
          <w:rFonts w:eastAsia="仿宋"/>
          <w:b/>
          <w:szCs w:val="24"/>
        </w:rPr>
        <w:t>价值分析方法</w:t>
      </w:r>
    </w:p>
    <w:p w14:paraId="22B3D7B2" w14:textId="77777777" w:rsidR="009C6F99" w:rsidRDefault="0045026B">
      <w:pPr>
        <w:tabs>
          <w:tab w:val="left" w:pos="0"/>
        </w:tabs>
        <w:ind w:firstLineChars="200" w:firstLine="480"/>
        <w:rPr>
          <w:rFonts w:eastAsia="仿宋"/>
          <w:szCs w:val="24"/>
        </w:rPr>
      </w:pPr>
      <w:r>
        <w:rPr>
          <w:rFonts w:eastAsia="仿宋"/>
          <w:szCs w:val="24"/>
        </w:rPr>
        <w:t>本次价值分析采用市场法。</w:t>
      </w:r>
    </w:p>
    <w:p w14:paraId="686681E2" w14:textId="77777777" w:rsidR="009C6F99" w:rsidRDefault="0045026B">
      <w:pPr>
        <w:numPr>
          <w:ilvl w:val="0"/>
          <w:numId w:val="13"/>
        </w:numPr>
        <w:tabs>
          <w:tab w:val="left" w:pos="0"/>
        </w:tabs>
        <w:ind w:firstLineChars="200" w:firstLine="482"/>
        <w:rPr>
          <w:rFonts w:eastAsia="仿宋"/>
          <w:b/>
          <w:szCs w:val="24"/>
        </w:rPr>
      </w:pPr>
      <w:r>
        <w:rPr>
          <w:rFonts w:eastAsia="仿宋"/>
          <w:b/>
          <w:szCs w:val="24"/>
        </w:rPr>
        <w:t>价值分析结论及其使用有效期</w:t>
      </w:r>
    </w:p>
    <w:p w14:paraId="3F919A1C" w14:textId="77777777" w:rsidR="009C6F99" w:rsidRDefault="0045026B">
      <w:pPr>
        <w:pStyle w:val="Textkrper-Zeileneinzug"/>
        <w:ind w:right="0" w:firstLineChars="200" w:firstLine="480"/>
        <w:rPr>
          <w:rFonts w:ascii="Times New Roman" w:eastAsia="仿宋"/>
          <w:sz w:val="24"/>
          <w:szCs w:val="24"/>
        </w:rPr>
      </w:pPr>
      <w:r>
        <w:rPr>
          <w:rFonts w:ascii="Times New Roman" w:eastAsia="仿宋"/>
          <w:sz w:val="24"/>
          <w:szCs w:val="24"/>
        </w:rPr>
        <w:t>中国工商银行股份有限公司苏州分行</w:t>
      </w:r>
      <w:r>
        <w:rPr>
          <w:rFonts w:ascii="Times New Roman" w:eastAsia="仿宋"/>
          <w:sz w:val="24"/>
          <w:szCs w:val="24"/>
        </w:rPr>
        <w:t>2025</w:t>
      </w:r>
      <w:r>
        <w:rPr>
          <w:rFonts w:ascii="Times New Roman" w:eastAsia="仿宋"/>
          <w:sz w:val="24"/>
          <w:szCs w:val="24"/>
        </w:rPr>
        <w:t>年住房类个贷不良资产证券化项目涉及的李永超户债权于分析基准日</w:t>
      </w:r>
      <w:r>
        <w:rPr>
          <w:rFonts w:ascii="Times New Roman" w:eastAsia="仿宋"/>
          <w:sz w:val="24"/>
          <w:szCs w:val="24"/>
        </w:rPr>
        <w:t>2025</w:t>
      </w:r>
      <w:r>
        <w:rPr>
          <w:rFonts w:ascii="Times New Roman" w:eastAsia="仿宋"/>
          <w:sz w:val="24"/>
          <w:szCs w:val="24"/>
        </w:rPr>
        <w:t>年</w:t>
      </w:r>
      <w:r>
        <w:rPr>
          <w:rFonts w:ascii="Times New Roman" w:eastAsia="仿宋"/>
          <w:sz w:val="24"/>
          <w:szCs w:val="24"/>
        </w:rPr>
        <w:t>6</w:t>
      </w:r>
      <w:r>
        <w:rPr>
          <w:rFonts w:ascii="Times New Roman" w:eastAsia="仿宋"/>
          <w:sz w:val="24"/>
          <w:szCs w:val="24"/>
        </w:rPr>
        <w:t>月</w:t>
      </w:r>
      <w:r>
        <w:rPr>
          <w:rFonts w:ascii="Times New Roman" w:eastAsia="仿宋"/>
          <w:sz w:val="24"/>
          <w:szCs w:val="24"/>
        </w:rPr>
        <w:t>30</w:t>
      </w:r>
      <w:r>
        <w:rPr>
          <w:rFonts w:ascii="Times New Roman" w:eastAsia="仿宋"/>
          <w:sz w:val="24"/>
          <w:szCs w:val="24"/>
        </w:rPr>
        <w:t>日的剩余债权金额为</w:t>
      </w:r>
      <w:r>
        <w:rPr>
          <w:rFonts w:ascii="Times New Roman" w:eastAsia="仿宋"/>
          <w:sz w:val="24"/>
          <w:szCs w:val="24"/>
        </w:rPr>
        <w:t>136.62</w:t>
      </w:r>
      <w:r>
        <w:rPr>
          <w:rFonts w:ascii="Times New Roman" w:eastAsia="仿宋"/>
          <w:sz w:val="24"/>
          <w:szCs w:val="24"/>
        </w:rPr>
        <w:t>万元，在快速变现前提下分析价值为</w:t>
      </w:r>
      <w:r>
        <w:rPr>
          <w:rFonts w:ascii="Times New Roman" w:eastAsia="仿宋"/>
          <w:sz w:val="24"/>
          <w:szCs w:val="24"/>
        </w:rPr>
        <w:t>65.85</w:t>
      </w:r>
      <w:r>
        <w:rPr>
          <w:rFonts w:ascii="Times New Roman" w:eastAsia="仿宋"/>
          <w:sz w:val="24"/>
          <w:szCs w:val="24"/>
        </w:rPr>
        <w:t>万元，预计偿债率为</w:t>
      </w:r>
      <w:r>
        <w:rPr>
          <w:rFonts w:ascii="Times New Roman" w:eastAsia="仿宋"/>
          <w:sz w:val="24"/>
          <w:szCs w:val="24"/>
        </w:rPr>
        <w:t>48.19%</w:t>
      </w:r>
      <w:r>
        <w:rPr>
          <w:rFonts w:ascii="Times New Roman" w:eastAsia="仿宋"/>
          <w:sz w:val="24"/>
          <w:szCs w:val="24"/>
        </w:rPr>
        <w:t>（取整至百位，详见价值分析估算表）。</w:t>
      </w:r>
    </w:p>
    <w:p w14:paraId="4FD20A4C" w14:textId="77777777" w:rsidR="009C6F99" w:rsidRDefault="0045026B">
      <w:pPr>
        <w:autoSpaceDE w:val="0"/>
        <w:autoSpaceDN w:val="0"/>
        <w:adjustRightInd w:val="0"/>
        <w:snapToGrid w:val="0"/>
        <w:ind w:firstLineChars="200" w:firstLine="480"/>
        <w:rPr>
          <w:rFonts w:eastAsia="仿宋"/>
          <w:szCs w:val="24"/>
        </w:rPr>
      </w:pPr>
      <w:r>
        <w:rPr>
          <w:rFonts w:eastAsia="仿宋"/>
        </w:rPr>
        <w:t>本价值分析报告所揭示分析结论的使用有效期为六个月，自价值分析基准日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w:t>
      </w:r>
      <w:r>
        <w:rPr>
          <w:rFonts w:eastAsia="仿宋"/>
        </w:rPr>
        <w:t>列示的价值分析</w:t>
      </w:r>
      <w:r>
        <w:rPr>
          <w:rFonts w:eastAsia="仿宋"/>
        </w:rPr>
        <w:lastRenderedPageBreak/>
        <w:t>结论无效。国家法律、行政法规另有规定的除外</w:t>
      </w:r>
      <w:r>
        <w:rPr>
          <w:rFonts w:eastAsia="仿宋"/>
          <w:szCs w:val="24"/>
        </w:rPr>
        <w:t>。</w:t>
      </w:r>
    </w:p>
    <w:p w14:paraId="47E1F58D" w14:textId="77777777" w:rsidR="009C6F99" w:rsidRDefault="0045026B">
      <w:pPr>
        <w:autoSpaceDE w:val="0"/>
        <w:autoSpaceDN w:val="0"/>
        <w:adjustRightInd w:val="0"/>
        <w:snapToGrid w:val="0"/>
        <w:ind w:firstLineChars="200" w:firstLine="482"/>
        <w:rPr>
          <w:rFonts w:eastAsia="仿宋"/>
          <w:b/>
        </w:rPr>
      </w:pPr>
      <w:r>
        <w:rPr>
          <w:rFonts w:eastAsia="仿宋"/>
          <w:b/>
        </w:rPr>
        <w:t>重要事项说明：</w:t>
      </w:r>
    </w:p>
    <w:p w14:paraId="42960A4C" w14:textId="77777777" w:rsidR="009C6F99" w:rsidRDefault="0045026B">
      <w:pPr>
        <w:autoSpaceDE w:val="0"/>
        <w:autoSpaceDN w:val="0"/>
        <w:adjustRightInd w:val="0"/>
        <w:snapToGrid w:val="0"/>
        <w:ind w:firstLineChars="200" w:firstLine="482"/>
        <w:rPr>
          <w:rFonts w:eastAsia="仿宋"/>
          <w:b/>
        </w:rPr>
      </w:pPr>
      <w:r>
        <w:rPr>
          <w:rFonts w:eastAsia="仿宋"/>
          <w:b/>
        </w:rPr>
        <w:t>以上内容摘自价值分析报告正文，欲了解本价值分析业务的详细情况和正确理解分析结论，应完整阅读报告正文。</w:t>
      </w:r>
      <w:bookmarkStart w:id="12" w:name="_Toc477429869"/>
      <w:bookmarkStart w:id="13" w:name="_Toc469811359"/>
      <w:bookmarkStart w:id="14" w:name="_Toc445967713"/>
      <w:bookmarkStart w:id="15" w:name="_Toc165180884"/>
      <w:bookmarkStart w:id="16" w:name="_Toc445967578"/>
    </w:p>
    <w:p w14:paraId="1115EAEA" w14:textId="77777777" w:rsidR="009C6F99" w:rsidRDefault="0045026B">
      <w:r>
        <w:br w:type="page"/>
      </w:r>
    </w:p>
    <w:p w14:paraId="10E1DCAA" w14:textId="77777777" w:rsidR="009C6F99" w:rsidRDefault="009C6F99">
      <w:pPr>
        <w:spacing w:line="60" w:lineRule="auto"/>
        <w:ind w:firstLine="0"/>
        <w:rPr>
          <w:rFonts w:eastAsia="仿宋"/>
          <w:szCs w:val="24"/>
        </w:rPr>
      </w:pPr>
    </w:p>
    <w:p w14:paraId="43DB2E70" w14:textId="77777777" w:rsidR="009C6F99" w:rsidRDefault="0045026B">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中国工商银行股份有限公司苏州分行</w:t>
      </w:r>
      <w:r>
        <w:rPr>
          <w:rFonts w:eastAsia="仿宋" w:hint="eastAsia"/>
          <w:b/>
          <w:color w:val="000000" w:themeColor="text1"/>
          <w:sz w:val="32"/>
          <w:szCs w:val="32"/>
        </w:rPr>
        <w:t>2025</w:t>
      </w:r>
      <w:r>
        <w:rPr>
          <w:rFonts w:eastAsia="仿宋" w:hint="eastAsia"/>
          <w:b/>
          <w:color w:val="000000" w:themeColor="text1"/>
          <w:sz w:val="32"/>
          <w:szCs w:val="32"/>
        </w:rPr>
        <w:t>年住房类</w:t>
      </w:r>
    </w:p>
    <w:p w14:paraId="4A915FDF" w14:textId="77777777" w:rsidR="009C6F99" w:rsidRDefault="0045026B">
      <w:pPr>
        <w:snapToGrid w:val="0"/>
        <w:spacing w:line="240" w:lineRule="auto"/>
        <w:ind w:firstLine="0"/>
        <w:jc w:val="center"/>
        <w:rPr>
          <w:rFonts w:eastAsia="仿宋"/>
          <w:b/>
          <w:color w:val="000000" w:themeColor="text1"/>
          <w:sz w:val="32"/>
          <w:szCs w:val="32"/>
        </w:rPr>
      </w:pPr>
      <w:r>
        <w:rPr>
          <w:rFonts w:eastAsia="仿宋"/>
          <w:b/>
          <w:color w:val="000000" w:themeColor="text1"/>
          <w:sz w:val="32"/>
          <w:szCs w:val="32"/>
        </w:rPr>
        <w:t>个贷不良资产证券化项目涉及的</w:t>
      </w:r>
      <w:r>
        <w:rPr>
          <w:rFonts w:eastAsia="仿宋" w:hint="eastAsia"/>
          <w:b/>
          <w:color w:val="000000" w:themeColor="text1"/>
          <w:sz w:val="32"/>
          <w:szCs w:val="32"/>
        </w:rPr>
        <w:t>李永超户</w:t>
      </w:r>
    </w:p>
    <w:p w14:paraId="4617B80A" w14:textId="77777777" w:rsidR="009C6F99" w:rsidRDefault="0045026B">
      <w:pPr>
        <w:pStyle w:val="berschrift1"/>
        <w:spacing w:before="0" w:after="0" w:line="240" w:lineRule="auto"/>
        <w:ind w:firstLine="0"/>
        <w:jc w:val="center"/>
        <w:rPr>
          <w:rFonts w:ascii="Times New Roman" w:eastAsia="仿宋"/>
          <w:sz w:val="32"/>
          <w:szCs w:val="32"/>
        </w:rPr>
      </w:pPr>
      <w:bookmarkStart w:id="17" w:name="_Toc27400"/>
      <w:r>
        <w:rPr>
          <w:rFonts w:ascii="Times New Roman" w:eastAsia="仿宋"/>
          <w:sz w:val="32"/>
          <w:szCs w:val="32"/>
        </w:rPr>
        <w:t>债权清算</w:t>
      </w:r>
      <w:r>
        <w:rPr>
          <w:rFonts w:ascii="Times New Roman" w:eastAsia="仿宋"/>
          <w:sz w:val="32"/>
          <w:szCs w:val="32"/>
        </w:rPr>
        <w:t>价值</w:t>
      </w:r>
      <w:r>
        <w:rPr>
          <w:rFonts w:ascii="Times New Roman" w:eastAsia="仿宋"/>
          <w:sz w:val="32"/>
          <w:szCs w:val="32"/>
        </w:rPr>
        <w:t>分析报告</w:t>
      </w:r>
      <w:bookmarkEnd w:id="17"/>
    </w:p>
    <w:p w14:paraId="16FC4328" w14:textId="77777777" w:rsidR="009C6F99" w:rsidRDefault="0045026B">
      <w:pPr>
        <w:pBdr>
          <w:bottom w:val="single" w:sz="6" w:space="1" w:color="auto"/>
        </w:pBdr>
        <w:spacing w:beforeLines="100" w:before="240" w:afterLines="50" w:after="120"/>
        <w:ind w:firstLine="0"/>
        <w:jc w:val="center"/>
        <w:rPr>
          <w:rFonts w:eastAsia="仿宋"/>
          <w:b/>
          <w:szCs w:val="32"/>
        </w:rPr>
      </w:pPr>
      <w:bookmarkStart w:id="18" w:name="OLE_LINK4"/>
      <w:r>
        <w:rPr>
          <w:rFonts w:eastAsia="仿宋" w:hint="eastAsia"/>
          <w:b/>
          <w:szCs w:val="32"/>
        </w:rPr>
        <w:t>天地恒安</w:t>
      </w:r>
      <w:r>
        <w:rPr>
          <w:rFonts w:eastAsia="仿宋" w:hint="eastAsia"/>
          <w:b/>
          <w:szCs w:val="32"/>
        </w:rPr>
        <w:t>[2025]</w:t>
      </w:r>
      <w:r>
        <w:rPr>
          <w:rFonts w:eastAsia="仿宋" w:hint="eastAsia"/>
          <w:b/>
          <w:szCs w:val="32"/>
        </w:rPr>
        <w:t>资评咨字第</w:t>
      </w:r>
      <w:r>
        <w:rPr>
          <w:rFonts w:eastAsia="仿宋" w:hint="eastAsia"/>
          <w:b/>
          <w:szCs w:val="32"/>
        </w:rPr>
        <w:t>1017-4</w:t>
      </w:r>
      <w:r>
        <w:rPr>
          <w:rFonts w:eastAsia="仿宋" w:hint="eastAsia"/>
          <w:b/>
          <w:szCs w:val="32"/>
        </w:rPr>
        <w:t>号</w:t>
      </w:r>
    </w:p>
    <w:bookmarkEnd w:id="12"/>
    <w:bookmarkEnd w:id="13"/>
    <w:bookmarkEnd w:id="14"/>
    <w:bookmarkEnd w:id="15"/>
    <w:bookmarkEnd w:id="16"/>
    <w:bookmarkEnd w:id="18"/>
    <w:p w14:paraId="66A9221B" w14:textId="77777777" w:rsidR="009C6F99" w:rsidRDefault="0045026B">
      <w:pPr>
        <w:spacing w:beforeLines="100" w:before="240"/>
        <w:ind w:firstLine="0"/>
        <w:rPr>
          <w:rFonts w:eastAsia="仿宋"/>
          <w:szCs w:val="24"/>
        </w:rPr>
      </w:pPr>
      <w:r>
        <w:rPr>
          <w:rFonts w:eastAsia="仿宋"/>
          <w:b/>
          <w:bCs/>
          <w:szCs w:val="24"/>
        </w:rPr>
        <w:t>中国工商银行股份有限公司苏州分行</w:t>
      </w:r>
      <w:r>
        <w:rPr>
          <w:rFonts w:eastAsia="仿宋"/>
          <w:szCs w:val="24"/>
        </w:rPr>
        <w:t>：</w:t>
      </w:r>
    </w:p>
    <w:p w14:paraId="018E5814" w14:textId="77777777" w:rsidR="009C6F99" w:rsidRDefault="0045026B">
      <w:pPr>
        <w:ind w:firstLineChars="200" w:firstLine="480"/>
        <w:rPr>
          <w:rFonts w:eastAsia="仿宋"/>
          <w:szCs w:val="24"/>
        </w:rPr>
      </w:pPr>
      <w:r>
        <w:rPr>
          <w:rFonts w:eastAsia="仿宋"/>
          <w:szCs w:val="24"/>
        </w:rPr>
        <w:t>江苏天地恒安房地产土地资产评估有限公司</w:t>
      </w:r>
      <w:r>
        <w:rPr>
          <w:rFonts w:eastAsia="仿宋"/>
        </w:rPr>
        <w:t>接受贵</w:t>
      </w:r>
      <w:r>
        <w:rPr>
          <w:rFonts w:eastAsia="仿宋"/>
        </w:rPr>
        <w:t>行</w:t>
      </w:r>
      <w:r>
        <w:rPr>
          <w:rFonts w:eastAsia="仿宋"/>
          <w:szCs w:val="24"/>
        </w:rPr>
        <w:t>的</w:t>
      </w:r>
      <w:r>
        <w:rPr>
          <w:rFonts w:eastAsia="仿宋"/>
          <w:szCs w:val="24"/>
        </w:rPr>
        <w:t>委托</w:t>
      </w:r>
      <w:r>
        <w:rPr>
          <w:rFonts w:eastAsia="仿宋"/>
          <w:szCs w:val="24"/>
        </w:rPr>
        <w:t>，坚持独立、客观、公正的原则，采用</w:t>
      </w:r>
      <w:r>
        <w:rPr>
          <w:rFonts w:eastAsia="仿宋"/>
          <w:szCs w:val="24"/>
        </w:rPr>
        <w:t>市场</w:t>
      </w:r>
      <w:r>
        <w:rPr>
          <w:rFonts w:eastAsia="仿宋"/>
          <w:szCs w:val="24"/>
        </w:rPr>
        <w:t>法，按照必要的价值分析程序，对</w:t>
      </w:r>
      <w:r>
        <w:rPr>
          <w:rFonts w:eastAsia="仿宋"/>
          <w:szCs w:val="24"/>
        </w:rPr>
        <w:t>中国工商银行股份有限公司苏州分行</w:t>
      </w:r>
      <w:r>
        <w:rPr>
          <w:rFonts w:eastAsia="仿宋" w:hint="eastAsia"/>
          <w:szCs w:val="24"/>
        </w:rPr>
        <w:t>2025</w:t>
      </w:r>
      <w:r>
        <w:rPr>
          <w:rFonts w:eastAsia="仿宋" w:hint="eastAsia"/>
          <w:szCs w:val="24"/>
        </w:rPr>
        <w:t>年住房类</w:t>
      </w:r>
      <w:r>
        <w:rPr>
          <w:rFonts w:eastAsia="仿宋"/>
          <w:szCs w:val="24"/>
        </w:rPr>
        <w:t>个贷不良资产证券化项目涉及的</w:t>
      </w:r>
      <w:r>
        <w:rPr>
          <w:rFonts w:eastAsia="仿宋" w:hint="eastAsia"/>
          <w:szCs w:val="24"/>
        </w:rPr>
        <w:t>李永超户</w:t>
      </w:r>
      <w:r>
        <w:rPr>
          <w:rFonts w:eastAsia="仿宋"/>
          <w:szCs w:val="24"/>
        </w:rPr>
        <w:t>债权于分析基准日</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的清算价值进行了价值分析。</w:t>
      </w:r>
    </w:p>
    <w:p w14:paraId="4CD5AAD1" w14:textId="77777777" w:rsidR="009C6F99" w:rsidRDefault="0045026B">
      <w:pPr>
        <w:ind w:firstLineChars="200" w:firstLine="480"/>
        <w:rPr>
          <w:rFonts w:eastAsia="仿宋"/>
          <w:szCs w:val="24"/>
        </w:rPr>
      </w:pPr>
      <w:r>
        <w:rPr>
          <w:rFonts w:eastAsia="仿宋"/>
          <w:szCs w:val="24"/>
        </w:rPr>
        <w:t>现将</w:t>
      </w:r>
      <w:r>
        <w:rPr>
          <w:rFonts w:eastAsia="仿宋"/>
          <w:szCs w:val="24"/>
        </w:rPr>
        <w:t>价值分析</w:t>
      </w:r>
      <w:r>
        <w:rPr>
          <w:rFonts w:eastAsia="仿宋"/>
          <w:szCs w:val="24"/>
        </w:rPr>
        <w:t>情况报告如下：</w:t>
      </w:r>
    </w:p>
    <w:p w14:paraId="3C06EC91" w14:textId="77777777" w:rsidR="009C6F99" w:rsidRDefault="0045026B">
      <w:pPr>
        <w:pStyle w:val="berschrift2"/>
        <w:numPr>
          <w:ilvl w:val="0"/>
          <w:numId w:val="14"/>
        </w:numPr>
        <w:tabs>
          <w:tab w:val="left" w:pos="567"/>
        </w:tabs>
        <w:spacing w:before="240" w:after="120" w:line="360" w:lineRule="auto"/>
        <w:ind w:left="0" w:firstLine="0"/>
        <w:rPr>
          <w:rFonts w:ascii="Times New Roman" w:eastAsia="仿宋" w:hAnsi="Times New Roman"/>
          <w:spacing w:val="-10"/>
          <w:sz w:val="28"/>
          <w:szCs w:val="28"/>
        </w:rPr>
      </w:pPr>
      <w:bookmarkStart w:id="19" w:name="_Toc9297"/>
      <w:r>
        <w:rPr>
          <w:rFonts w:ascii="Times New Roman" w:eastAsia="仿宋" w:hAnsi="Times New Roman"/>
          <w:sz w:val="28"/>
          <w:szCs w:val="28"/>
        </w:rPr>
        <w:t>委托人</w:t>
      </w:r>
      <w:r>
        <w:rPr>
          <w:rFonts w:ascii="Times New Roman" w:eastAsia="仿宋" w:hAnsi="Times New Roman"/>
          <w:sz w:val="28"/>
          <w:szCs w:val="28"/>
        </w:rPr>
        <w:t>、</w:t>
      </w:r>
      <w:r>
        <w:rPr>
          <w:rFonts w:ascii="Times New Roman" w:eastAsia="仿宋" w:hAnsi="Times New Roman"/>
          <w:sz w:val="28"/>
          <w:szCs w:val="28"/>
        </w:rPr>
        <w:t>债务人及债务责任关联方简介</w:t>
      </w:r>
      <w:bookmarkEnd w:id="19"/>
    </w:p>
    <w:p w14:paraId="70AE5768" w14:textId="77777777" w:rsidR="009C6F99" w:rsidRDefault="0045026B">
      <w:pPr>
        <w:ind w:firstLineChars="200" w:firstLine="480"/>
        <w:rPr>
          <w:rFonts w:eastAsia="仿宋"/>
          <w:szCs w:val="24"/>
        </w:rPr>
      </w:pPr>
      <w:r>
        <w:rPr>
          <w:rFonts w:eastAsia="仿宋"/>
          <w:szCs w:val="24"/>
        </w:rPr>
        <w:t>本项目委托人为中国工商银行股份有限公司苏州分行，债务人为李永超及段红宇。价值分析报告使用人为委托人。</w:t>
      </w:r>
    </w:p>
    <w:p w14:paraId="6B5C1DBA" w14:textId="77777777" w:rsidR="009C6F99" w:rsidRDefault="0045026B">
      <w:pPr>
        <w:numPr>
          <w:ilvl w:val="0"/>
          <w:numId w:val="15"/>
        </w:numPr>
        <w:ind w:firstLineChars="200" w:firstLine="482"/>
        <w:rPr>
          <w:rFonts w:eastAsia="仿宋"/>
          <w:b/>
          <w:szCs w:val="24"/>
        </w:rPr>
      </w:pPr>
      <w:bookmarkStart w:id="20" w:name="_Toc445967714"/>
      <w:bookmarkStart w:id="21" w:name="_Toc477429870"/>
      <w:bookmarkStart w:id="22" w:name="_Toc469811360"/>
      <w:bookmarkStart w:id="23" w:name="_Toc445967579"/>
      <w:r>
        <w:rPr>
          <w:rFonts w:eastAsia="仿宋"/>
          <w:b/>
          <w:szCs w:val="24"/>
        </w:rPr>
        <w:t>委托人</w:t>
      </w:r>
      <w:r>
        <w:rPr>
          <w:rFonts w:eastAsia="仿宋"/>
          <w:b/>
          <w:szCs w:val="24"/>
        </w:rPr>
        <w:t>简介</w:t>
      </w:r>
    </w:p>
    <w:p w14:paraId="47ED469B" w14:textId="77777777" w:rsidR="009C6F99" w:rsidRDefault="0045026B">
      <w:pPr>
        <w:ind w:firstLineChars="200" w:firstLine="480"/>
        <w:rPr>
          <w:rFonts w:eastAsia="仿宋"/>
          <w:szCs w:val="24"/>
        </w:rPr>
      </w:pPr>
      <w:r>
        <w:rPr>
          <w:rFonts w:eastAsia="仿宋"/>
          <w:szCs w:val="24"/>
        </w:rPr>
        <w:t>名</w:t>
      </w:r>
      <w:r>
        <w:rPr>
          <w:rFonts w:eastAsia="仿宋"/>
          <w:szCs w:val="24"/>
        </w:rPr>
        <w:t xml:space="preserve">    </w:t>
      </w:r>
      <w:r>
        <w:rPr>
          <w:rFonts w:eastAsia="仿宋"/>
          <w:szCs w:val="24"/>
        </w:rPr>
        <w:t>称：中国工商银行股份有限公司苏州分行</w:t>
      </w:r>
    </w:p>
    <w:p w14:paraId="74BA80A5" w14:textId="77777777" w:rsidR="009C6F99" w:rsidRDefault="0045026B">
      <w:pPr>
        <w:ind w:firstLineChars="200" w:firstLine="480"/>
        <w:rPr>
          <w:rFonts w:eastAsia="仿宋"/>
          <w:szCs w:val="24"/>
        </w:rPr>
      </w:pPr>
      <w:r>
        <w:rPr>
          <w:rFonts w:eastAsia="仿宋"/>
          <w:szCs w:val="24"/>
        </w:rPr>
        <w:t>统一社会信用代码：</w:t>
      </w:r>
      <w:r>
        <w:rPr>
          <w:rFonts w:eastAsia="仿宋"/>
          <w:szCs w:val="24"/>
        </w:rPr>
        <w:t>9132050060821340XJ</w:t>
      </w:r>
    </w:p>
    <w:p w14:paraId="31E64010" w14:textId="77777777" w:rsidR="009C6F99" w:rsidRDefault="0045026B">
      <w:pPr>
        <w:ind w:firstLineChars="200" w:firstLine="480"/>
        <w:rPr>
          <w:rFonts w:eastAsia="仿宋"/>
          <w:szCs w:val="24"/>
        </w:rPr>
      </w:pPr>
      <w:r>
        <w:rPr>
          <w:rFonts w:eastAsia="仿宋"/>
          <w:szCs w:val="24"/>
        </w:rPr>
        <w:t>类</w:t>
      </w:r>
      <w:r>
        <w:rPr>
          <w:rFonts w:eastAsia="仿宋"/>
          <w:szCs w:val="24"/>
        </w:rPr>
        <w:t xml:space="preserve">    </w:t>
      </w:r>
      <w:r>
        <w:rPr>
          <w:rFonts w:eastAsia="仿宋"/>
          <w:szCs w:val="24"/>
        </w:rPr>
        <w:t>型：股份有限公司分公司（非上市）</w:t>
      </w:r>
    </w:p>
    <w:p w14:paraId="6934850B" w14:textId="77777777" w:rsidR="009C6F99" w:rsidRDefault="0045026B">
      <w:pPr>
        <w:ind w:firstLineChars="200" w:firstLine="480"/>
        <w:rPr>
          <w:rFonts w:eastAsia="仿宋"/>
          <w:szCs w:val="24"/>
        </w:rPr>
      </w:pPr>
      <w:r>
        <w:rPr>
          <w:rFonts w:eastAsia="仿宋"/>
          <w:szCs w:val="24"/>
        </w:rPr>
        <w:t>负</w:t>
      </w:r>
      <w:r>
        <w:rPr>
          <w:rFonts w:eastAsia="仿宋"/>
          <w:szCs w:val="24"/>
        </w:rPr>
        <w:t xml:space="preserve"> </w:t>
      </w:r>
      <w:r>
        <w:rPr>
          <w:rFonts w:eastAsia="仿宋"/>
          <w:szCs w:val="24"/>
        </w:rPr>
        <w:t>责</w:t>
      </w:r>
      <w:r>
        <w:rPr>
          <w:rFonts w:eastAsia="仿宋"/>
          <w:szCs w:val="24"/>
        </w:rPr>
        <w:t xml:space="preserve"> </w:t>
      </w:r>
      <w:r>
        <w:rPr>
          <w:rFonts w:eastAsia="仿宋"/>
          <w:szCs w:val="24"/>
        </w:rPr>
        <w:t>人：丛小东</w:t>
      </w:r>
    </w:p>
    <w:p w14:paraId="1EE0F208" w14:textId="77777777" w:rsidR="009C6F99" w:rsidRDefault="0045026B">
      <w:pPr>
        <w:ind w:firstLineChars="200" w:firstLine="480"/>
        <w:rPr>
          <w:rFonts w:eastAsia="仿宋"/>
          <w:szCs w:val="24"/>
        </w:rPr>
      </w:pPr>
      <w:r>
        <w:rPr>
          <w:rFonts w:eastAsia="仿宋"/>
          <w:szCs w:val="24"/>
        </w:rPr>
        <w:t>成立日期：</w:t>
      </w:r>
      <w:r>
        <w:rPr>
          <w:rFonts w:eastAsia="仿宋"/>
          <w:szCs w:val="24"/>
        </w:rPr>
        <w:t>1996</w:t>
      </w:r>
      <w:r>
        <w:rPr>
          <w:rFonts w:eastAsia="仿宋"/>
          <w:szCs w:val="24"/>
        </w:rPr>
        <w:t>年</w:t>
      </w:r>
      <w:r>
        <w:rPr>
          <w:rFonts w:eastAsia="仿宋"/>
          <w:szCs w:val="24"/>
        </w:rPr>
        <w:t>09</w:t>
      </w:r>
      <w:r>
        <w:rPr>
          <w:rFonts w:eastAsia="仿宋"/>
          <w:szCs w:val="24"/>
        </w:rPr>
        <w:t>月</w:t>
      </w:r>
      <w:r>
        <w:rPr>
          <w:rFonts w:eastAsia="仿宋"/>
          <w:szCs w:val="24"/>
        </w:rPr>
        <w:t>27</w:t>
      </w:r>
      <w:r>
        <w:rPr>
          <w:rFonts w:eastAsia="仿宋"/>
          <w:szCs w:val="24"/>
        </w:rPr>
        <w:t>日</w:t>
      </w:r>
    </w:p>
    <w:p w14:paraId="36B1DA20" w14:textId="77777777" w:rsidR="009C6F99" w:rsidRDefault="0045026B">
      <w:pPr>
        <w:ind w:firstLineChars="200" w:firstLine="480"/>
        <w:rPr>
          <w:rFonts w:eastAsia="仿宋"/>
          <w:szCs w:val="24"/>
        </w:rPr>
      </w:pPr>
      <w:r>
        <w:rPr>
          <w:rFonts w:eastAsia="仿宋"/>
          <w:szCs w:val="24"/>
        </w:rPr>
        <w:t>营业场所：苏州工业园区旺墩路</w:t>
      </w:r>
      <w:r>
        <w:rPr>
          <w:rFonts w:eastAsia="仿宋"/>
          <w:szCs w:val="24"/>
        </w:rPr>
        <w:t>122</w:t>
      </w:r>
      <w:r>
        <w:rPr>
          <w:rFonts w:eastAsia="仿宋"/>
          <w:szCs w:val="24"/>
        </w:rPr>
        <w:t>号</w:t>
      </w:r>
    </w:p>
    <w:p w14:paraId="6009C076" w14:textId="77777777" w:rsidR="009C6F99" w:rsidRDefault="0045026B">
      <w:pPr>
        <w:ind w:firstLineChars="200" w:firstLine="480"/>
        <w:rPr>
          <w:rFonts w:eastAsia="仿宋"/>
          <w:szCs w:val="24"/>
        </w:rPr>
      </w:pPr>
      <w:r>
        <w:rPr>
          <w:rFonts w:eastAsia="仿宋"/>
          <w:szCs w:val="24"/>
        </w:rPr>
        <w:t>经营范围：许可该机构经营中国银行监督管理委员会依照有关法律、行政法规和其他规定批准的业务，经营范围以批准文件所列的为准；保险兼业代理业务（限许可证范围）。（依法须经批准的项目，经相关部门批准后方可开展经营活动</w:t>
      </w:r>
      <w:r>
        <w:rPr>
          <w:rFonts w:eastAsia="仿宋"/>
          <w:szCs w:val="24"/>
        </w:rPr>
        <w:t>）</w:t>
      </w:r>
    </w:p>
    <w:p w14:paraId="7129499A" w14:textId="77777777" w:rsidR="009C6F99" w:rsidRDefault="0045026B">
      <w:pPr>
        <w:numPr>
          <w:ilvl w:val="0"/>
          <w:numId w:val="15"/>
        </w:numPr>
        <w:ind w:firstLineChars="200" w:firstLine="482"/>
        <w:rPr>
          <w:rFonts w:eastAsia="仿宋"/>
          <w:b/>
          <w:szCs w:val="24"/>
        </w:rPr>
      </w:pPr>
      <w:r>
        <w:rPr>
          <w:rFonts w:eastAsia="仿宋"/>
          <w:b/>
          <w:szCs w:val="24"/>
        </w:rPr>
        <w:t>债务人简介</w:t>
      </w:r>
    </w:p>
    <w:p w14:paraId="57F997DF" w14:textId="77777777" w:rsidR="009C6F99" w:rsidRDefault="0045026B">
      <w:pPr>
        <w:ind w:firstLineChars="200" w:firstLine="480"/>
        <w:rPr>
          <w:rFonts w:eastAsia="仿宋"/>
          <w:szCs w:val="24"/>
        </w:rPr>
      </w:pPr>
      <w:r>
        <w:rPr>
          <w:rFonts w:eastAsia="仿宋"/>
          <w:szCs w:val="24"/>
        </w:rPr>
        <w:t>债务人一：李永超，性别：男，民族：汉族，身份证号码：</w:t>
      </w:r>
      <w:r>
        <w:rPr>
          <w:rFonts w:eastAsia="仿宋"/>
          <w:szCs w:val="24"/>
        </w:rPr>
        <w:t>320321198811177213</w:t>
      </w:r>
      <w:r>
        <w:rPr>
          <w:rFonts w:eastAsia="仿宋"/>
          <w:szCs w:val="24"/>
        </w:rPr>
        <w:t>，住址：江苏省徐州市泉山区万通小区</w:t>
      </w:r>
      <w:r>
        <w:rPr>
          <w:rFonts w:eastAsia="仿宋"/>
          <w:szCs w:val="24"/>
        </w:rPr>
        <w:t>2</w:t>
      </w:r>
      <w:r>
        <w:rPr>
          <w:rFonts w:eastAsia="仿宋"/>
          <w:szCs w:val="24"/>
        </w:rPr>
        <w:t>号楼</w:t>
      </w:r>
      <w:r>
        <w:rPr>
          <w:rFonts w:eastAsia="仿宋"/>
          <w:szCs w:val="24"/>
        </w:rPr>
        <w:t>4</w:t>
      </w:r>
      <w:r>
        <w:rPr>
          <w:rFonts w:eastAsia="仿宋"/>
          <w:szCs w:val="24"/>
        </w:rPr>
        <w:t>单元</w:t>
      </w:r>
      <w:r>
        <w:rPr>
          <w:rFonts w:eastAsia="仿宋"/>
          <w:szCs w:val="24"/>
        </w:rPr>
        <w:t>401</w:t>
      </w:r>
      <w:r>
        <w:rPr>
          <w:rFonts w:eastAsia="仿宋"/>
          <w:szCs w:val="24"/>
        </w:rPr>
        <w:t>室。</w:t>
      </w:r>
    </w:p>
    <w:p w14:paraId="1D443AD4" w14:textId="77777777" w:rsidR="009C6F99" w:rsidRDefault="0045026B">
      <w:pPr>
        <w:ind w:firstLineChars="200" w:firstLine="480"/>
        <w:rPr>
          <w:rFonts w:eastAsia="仿宋"/>
          <w:szCs w:val="24"/>
        </w:rPr>
      </w:pPr>
      <w:r>
        <w:rPr>
          <w:rFonts w:eastAsia="仿宋"/>
          <w:szCs w:val="24"/>
        </w:rPr>
        <w:t>债务人二：段红宇</w:t>
      </w:r>
      <w:r>
        <w:rPr>
          <w:rFonts w:eastAsia="仿宋"/>
          <w:szCs w:val="24"/>
        </w:rPr>
        <w:t>，性别：女，民族：汉族，身份证号码：</w:t>
      </w:r>
      <w:r>
        <w:rPr>
          <w:rFonts w:eastAsia="仿宋"/>
          <w:szCs w:val="24"/>
        </w:rPr>
        <w:t>320321198909200581</w:t>
      </w:r>
      <w:r>
        <w:rPr>
          <w:rFonts w:eastAsia="仿宋"/>
          <w:szCs w:val="24"/>
        </w:rPr>
        <w:t>，住址：江苏省丰县赵庄镇段堤口</w:t>
      </w:r>
      <w:r>
        <w:rPr>
          <w:rFonts w:eastAsia="仿宋"/>
          <w:szCs w:val="24"/>
        </w:rPr>
        <w:t>276-1</w:t>
      </w:r>
      <w:r>
        <w:rPr>
          <w:rFonts w:eastAsia="仿宋"/>
          <w:szCs w:val="24"/>
        </w:rPr>
        <w:t>号。</w:t>
      </w:r>
    </w:p>
    <w:p w14:paraId="5D91914F" w14:textId="77777777" w:rsidR="009C6F99" w:rsidRDefault="0045026B">
      <w:pPr>
        <w:numPr>
          <w:ilvl w:val="0"/>
          <w:numId w:val="15"/>
        </w:numPr>
        <w:ind w:firstLineChars="200" w:firstLine="482"/>
        <w:rPr>
          <w:rFonts w:eastAsia="仿宋"/>
          <w:b/>
          <w:szCs w:val="24"/>
        </w:rPr>
      </w:pPr>
      <w:r>
        <w:rPr>
          <w:rFonts w:eastAsia="仿宋"/>
          <w:b/>
          <w:szCs w:val="24"/>
        </w:rPr>
        <w:t>委托合同约定的价值分析报告使用人</w:t>
      </w:r>
    </w:p>
    <w:p w14:paraId="348069AD" w14:textId="77777777" w:rsidR="009C6F99" w:rsidRDefault="0045026B">
      <w:pPr>
        <w:autoSpaceDE w:val="0"/>
        <w:autoSpaceDN w:val="0"/>
        <w:ind w:firstLineChars="200" w:firstLine="480"/>
        <w:textAlignment w:val="bottom"/>
        <w:rPr>
          <w:rFonts w:eastAsia="仿宋"/>
          <w:szCs w:val="24"/>
        </w:rPr>
      </w:pPr>
      <w:r>
        <w:rPr>
          <w:rFonts w:eastAsia="仿宋"/>
          <w:szCs w:val="24"/>
        </w:rPr>
        <w:lastRenderedPageBreak/>
        <w:t>委托合同约定价值分析报告使用人为委托人。</w:t>
      </w:r>
    </w:p>
    <w:bookmarkStart w:id="24" w:name="_Toc30665"/>
    <w:p w14:paraId="3D62F3DB" w14:textId="4B73F57D" w:rsidR="009C6F99" w:rsidRDefault="0045026B">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25" w:name="_Hlt475689506"/>
      <w:r>
        <w:rPr>
          <w:rFonts w:ascii="Times New Roman" w:eastAsia="仿宋" w:hAnsi="Times New Roman"/>
          <w:sz w:val="28"/>
          <w:szCs w:val="28"/>
        </w:rPr>
        <w:t>价值分析目</w:t>
      </w:r>
      <w:bookmarkEnd w:id="25"/>
      <w:r>
        <w:rPr>
          <w:rFonts w:ascii="Times New Roman" w:eastAsia="仿宋" w:hAnsi="Times New Roman"/>
          <w:sz w:val="28"/>
          <w:szCs w:val="28"/>
        </w:rPr>
        <w:t>的</w:t>
      </w:r>
      <w:r>
        <w:rPr>
          <w:rFonts w:ascii="Times New Roman" w:eastAsia="仿宋" w:hAnsi="Times New Roman"/>
          <w:sz w:val="28"/>
          <w:szCs w:val="28"/>
        </w:rPr>
        <w:fldChar w:fldCharType="end"/>
      </w:r>
      <w:bookmarkEnd w:id="24"/>
    </w:p>
    <w:p w14:paraId="1831E284" w14:textId="77777777" w:rsidR="009C6F99" w:rsidRDefault="0045026B">
      <w:pPr>
        <w:autoSpaceDE w:val="0"/>
        <w:autoSpaceDN w:val="0"/>
        <w:ind w:firstLineChars="200" w:firstLine="480"/>
        <w:textAlignment w:val="bottom"/>
        <w:rPr>
          <w:rFonts w:eastAsia="仿宋"/>
          <w:bCs/>
        </w:rPr>
      </w:pPr>
      <w:r>
        <w:rPr>
          <w:rFonts w:eastAsia="仿宋"/>
          <w:szCs w:val="24"/>
        </w:rPr>
        <w:t>依据委托合同，</w:t>
      </w:r>
      <w:r>
        <w:rPr>
          <w:rFonts w:eastAsia="仿宋"/>
          <w:szCs w:val="24"/>
        </w:rPr>
        <w:t>中国工商银行股份有限公司苏州分行</w:t>
      </w:r>
      <w:r>
        <w:rPr>
          <w:rFonts w:eastAsia="仿宋"/>
          <w:szCs w:val="24"/>
        </w:rPr>
        <w:t>拟</w:t>
      </w:r>
      <w:r>
        <w:rPr>
          <w:rFonts w:eastAsia="仿宋"/>
          <w:szCs w:val="24"/>
        </w:rPr>
        <w:t>将</w:t>
      </w:r>
      <w:r>
        <w:rPr>
          <w:rFonts w:eastAsia="仿宋"/>
          <w:szCs w:val="24"/>
        </w:rPr>
        <w:t>住房类个贷不良资产证券化</w:t>
      </w:r>
      <w:r>
        <w:rPr>
          <w:rFonts w:eastAsia="仿宋"/>
          <w:szCs w:val="24"/>
        </w:rPr>
        <w:t>，需对该项目涉及的</w:t>
      </w:r>
      <w:r>
        <w:rPr>
          <w:rFonts w:eastAsia="仿宋" w:hint="eastAsia"/>
          <w:szCs w:val="24"/>
        </w:rPr>
        <w:t>李永超户</w:t>
      </w:r>
      <w:r>
        <w:rPr>
          <w:rFonts w:eastAsia="仿宋"/>
          <w:szCs w:val="24"/>
        </w:rPr>
        <w:t>债权资产的清算价值进行价值分析，为委托人转让债权资产提供价值参考</w:t>
      </w:r>
      <w:r>
        <w:rPr>
          <w:rFonts w:eastAsia="仿宋"/>
          <w:bCs/>
        </w:rPr>
        <w:t>。</w:t>
      </w:r>
    </w:p>
    <w:bookmarkStart w:id="26" w:name="_Toc20955"/>
    <w:p w14:paraId="4CCBA025" w14:textId="6924FFBD" w:rsidR="009C6F99" w:rsidRDefault="0045026B">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r>
        <w:rPr>
          <w:rFonts w:ascii="Times New Roman" w:eastAsia="仿宋" w:hAnsi="Times New Roman"/>
          <w:sz w:val="28"/>
          <w:szCs w:val="28"/>
        </w:rPr>
        <w:t>价值分析对象和价值分析范围</w:t>
      </w:r>
      <w:r>
        <w:rPr>
          <w:rFonts w:ascii="Times New Roman" w:eastAsia="仿宋" w:hAnsi="Times New Roman"/>
          <w:sz w:val="28"/>
          <w:szCs w:val="28"/>
        </w:rPr>
        <w:fldChar w:fldCharType="end"/>
      </w:r>
      <w:bookmarkEnd w:id="26"/>
    </w:p>
    <w:p w14:paraId="3ACB7C24" w14:textId="77777777" w:rsidR="009C6F99" w:rsidRDefault="0045026B">
      <w:pPr>
        <w:autoSpaceDE w:val="0"/>
        <w:autoSpaceDN w:val="0"/>
        <w:ind w:firstLineChars="200" w:firstLine="480"/>
        <w:textAlignment w:val="bottom"/>
        <w:rPr>
          <w:rFonts w:eastAsia="仿宋"/>
          <w:szCs w:val="24"/>
        </w:rPr>
      </w:pPr>
      <w:r>
        <w:rPr>
          <w:rFonts w:eastAsia="仿宋"/>
          <w:bCs/>
        </w:rPr>
        <w:t>本次价值分析对象和价值分析范围与经济行为涉及的价值分析对象和价值分析范围一致</w:t>
      </w:r>
      <w:r>
        <w:rPr>
          <w:rFonts w:eastAsia="仿宋"/>
          <w:szCs w:val="24"/>
        </w:rPr>
        <w:t>。</w:t>
      </w:r>
    </w:p>
    <w:p w14:paraId="2B663C9C" w14:textId="77777777" w:rsidR="009C6F99" w:rsidRDefault="0045026B">
      <w:pPr>
        <w:numPr>
          <w:ilvl w:val="0"/>
          <w:numId w:val="16"/>
        </w:numPr>
        <w:ind w:firstLineChars="200" w:firstLine="482"/>
        <w:rPr>
          <w:rFonts w:eastAsia="仿宋"/>
          <w:b/>
        </w:rPr>
      </w:pPr>
      <w:r>
        <w:rPr>
          <w:rFonts w:eastAsia="仿宋"/>
          <w:b/>
        </w:rPr>
        <w:t>价值分析对象</w:t>
      </w:r>
    </w:p>
    <w:p w14:paraId="0C2FE3BF" w14:textId="77777777" w:rsidR="009C6F99" w:rsidRDefault="0045026B">
      <w:pPr>
        <w:autoSpaceDE w:val="0"/>
        <w:autoSpaceDN w:val="0"/>
        <w:ind w:right="57" w:firstLineChars="200" w:firstLine="480"/>
        <w:textAlignment w:val="bottom"/>
        <w:rPr>
          <w:rFonts w:eastAsia="仿宋"/>
          <w:bCs/>
        </w:rPr>
      </w:pPr>
      <w:r>
        <w:rPr>
          <w:rFonts w:eastAsia="仿宋"/>
          <w:bCs/>
        </w:rPr>
        <w:t>本项目的价值分析对象为单项资产</w:t>
      </w:r>
      <w:r>
        <w:rPr>
          <w:rFonts w:eastAsia="仿宋"/>
          <w:bCs/>
        </w:rPr>
        <w:t>。</w:t>
      </w:r>
    </w:p>
    <w:p w14:paraId="2440DD45" w14:textId="77777777" w:rsidR="009C6F99" w:rsidRDefault="0045026B">
      <w:pPr>
        <w:numPr>
          <w:ilvl w:val="0"/>
          <w:numId w:val="16"/>
        </w:numPr>
        <w:ind w:firstLineChars="200" w:firstLine="482"/>
        <w:rPr>
          <w:rFonts w:eastAsia="仿宋"/>
          <w:b/>
        </w:rPr>
      </w:pPr>
      <w:r>
        <w:rPr>
          <w:rFonts w:eastAsia="仿宋"/>
          <w:b/>
        </w:rPr>
        <w:t>价值分析范围</w:t>
      </w:r>
    </w:p>
    <w:p w14:paraId="67757376" w14:textId="77777777" w:rsidR="009C6F99" w:rsidRDefault="0045026B">
      <w:pPr>
        <w:autoSpaceDE w:val="0"/>
        <w:autoSpaceDN w:val="0"/>
        <w:adjustRightInd w:val="0"/>
        <w:ind w:firstLineChars="200" w:firstLine="480"/>
        <w:rPr>
          <w:rFonts w:eastAsia="仿宋"/>
          <w:szCs w:val="24"/>
        </w:rPr>
      </w:pPr>
      <w:r>
        <w:rPr>
          <w:rFonts w:eastAsia="仿宋"/>
          <w:szCs w:val="24"/>
        </w:rPr>
        <w:t>具体价值分析范围是</w:t>
      </w:r>
      <w:r>
        <w:rPr>
          <w:rFonts w:eastAsia="仿宋"/>
          <w:szCs w:val="24"/>
        </w:rPr>
        <w:t>中国工商银行股份有限公司苏州分行</w:t>
      </w:r>
      <w:r>
        <w:rPr>
          <w:rFonts w:eastAsia="仿宋"/>
          <w:szCs w:val="24"/>
        </w:rPr>
        <w:t>申报的</w:t>
      </w:r>
      <w:r>
        <w:rPr>
          <w:rFonts w:eastAsia="仿宋" w:hint="eastAsia"/>
          <w:szCs w:val="24"/>
        </w:rPr>
        <w:t>李永超户</w:t>
      </w:r>
      <w:r>
        <w:rPr>
          <w:rFonts w:eastAsia="仿宋"/>
          <w:szCs w:val="24"/>
        </w:rPr>
        <w:t>债权资产。</w:t>
      </w:r>
    </w:p>
    <w:p w14:paraId="1FDB5614" w14:textId="77777777" w:rsidR="009C6F99" w:rsidRDefault="0045026B">
      <w:pPr>
        <w:autoSpaceDE w:val="0"/>
        <w:autoSpaceDN w:val="0"/>
        <w:adjustRightInd w:val="0"/>
        <w:ind w:firstLineChars="200" w:firstLine="480"/>
        <w:rPr>
          <w:rFonts w:eastAsia="仿宋"/>
          <w:szCs w:val="24"/>
        </w:rPr>
      </w:pPr>
      <w:r>
        <w:rPr>
          <w:rFonts w:eastAsia="仿宋"/>
          <w:szCs w:val="24"/>
        </w:rPr>
        <w:t>截至分析基准日借款已逾期，李永超户未按合同约定归还借款，截至基准日的借款本金余额</w:t>
      </w:r>
      <w:r>
        <w:rPr>
          <w:rFonts w:eastAsia="仿宋"/>
          <w:szCs w:val="24"/>
        </w:rPr>
        <w:t>133.76</w:t>
      </w:r>
      <w:r>
        <w:rPr>
          <w:rFonts w:eastAsia="仿宋"/>
          <w:szCs w:val="24"/>
        </w:rPr>
        <w:t>万元，欠息余额为</w:t>
      </w:r>
      <w:r>
        <w:rPr>
          <w:rFonts w:eastAsia="仿宋"/>
          <w:szCs w:val="24"/>
        </w:rPr>
        <w:t>2.86</w:t>
      </w:r>
      <w:r>
        <w:rPr>
          <w:rFonts w:eastAsia="仿宋"/>
          <w:szCs w:val="24"/>
        </w:rPr>
        <w:t>万元，本息合计</w:t>
      </w:r>
      <w:r>
        <w:rPr>
          <w:rFonts w:eastAsia="仿宋"/>
          <w:szCs w:val="24"/>
        </w:rPr>
        <w:t>136.62</w:t>
      </w:r>
      <w:r>
        <w:rPr>
          <w:rFonts w:eastAsia="仿宋"/>
          <w:szCs w:val="24"/>
        </w:rPr>
        <w:t>万元，抵押权利价值为</w:t>
      </w:r>
      <w:r>
        <w:rPr>
          <w:rFonts w:eastAsia="仿宋"/>
          <w:szCs w:val="24"/>
        </w:rPr>
        <w:t>140.00</w:t>
      </w:r>
      <w:r>
        <w:rPr>
          <w:rFonts w:eastAsia="仿宋"/>
          <w:szCs w:val="24"/>
        </w:rPr>
        <w:t>万元。</w:t>
      </w:r>
    </w:p>
    <w:p w14:paraId="3C81F96F" w14:textId="77777777" w:rsidR="009C6F99" w:rsidRDefault="0045026B">
      <w:pPr>
        <w:autoSpaceDE w:val="0"/>
        <w:autoSpaceDN w:val="0"/>
        <w:adjustRightInd w:val="0"/>
        <w:ind w:firstLineChars="200" w:firstLine="480"/>
        <w:rPr>
          <w:rFonts w:eastAsia="仿宋"/>
          <w:szCs w:val="24"/>
        </w:rPr>
      </w:pPr>
      <w:r>
        <w:rPr>
          <w:rFonts w:eastAsia="仿宋"/>
          <w:szCs w:val="24"/>
        </w:rPr>
        <w:t>根据贵行与债务人</w:t>
      </w:r>
      <w:r>
        <w:rPr>
          <w:rFonts w:eastAsia="仿宋" w:hint="eastAsia"/>
          <w:szCs w:val="24"/>
        </w:rPr>
        <w:t>李永超户</w:t>
      </w:r>
      <w:r>
        <w:rPr>
          <w:rFonts w:eastAsia="仿宋"/>
          <w:szCs w:val="24"/>
        </w:rPr>
        <w:t>及相关当事方签订的贷款合同、借款凭据、抵押合同、保证合同等资料，本次债权价值分析范围为：抵（质）押物价值、保全资产价值、</w:t>
      </w:r>
      <w:r>
        <w:rPr>
          <w:rFonts w:eastAsia="仿宋" w:hint="eastAsia"/>
          <w:szCs w:val="24"/>
        </w:rPr>
        <w:t>债务人</w:t>
      </w:r>
      <w:r>
        <w:rPr>
          <w:rFonts w:eastAsia="仿宋"/>
          <w:szCs w:val="24"/>
        </w:rPr>
        <w:t>的偿债能力、保证人的偿债能力及其他偿债资金来源等五个方面。其中，抵押物情况如下：</w:t>
      </w:r>
    </w:p>
    <w:tbl>
      <w:tblPr>
        <w:tblStyle w:val="Tabellenraster"/>
        <w:tblW w:w="4997" w:type="pct"/>
        <w:tblLook w:val="04A0" w:firstRow="1" w:lastRow="0" w:firstColumn="1" w:lastColumn="0" w:noHBand="0" w:noVBand="1"/>
      </w:tblPr>
      <w:tblGrid>
        <w:gridCol w:w="733"/>
        <w:gridCol w:w="2196"/>
        <w:gridCol w:w="1317"/>
        <w:gridCol w:w="1566"/>
        <w:gridCol w:w="836"/>
        <w:gridCol w:w="929"/>
        <w:gridCol w:w="1547"/>
      </w:tblGrid>
      <w:tr w:rsidR="009C6F99" w14:paraId="5D0C7C55" w14:textId="77777777">
        <w:tc>
          <w:tcPr>
            <w:tcW w:w="401" w:type="pct"/>
            <w:vAlign w:val="center"/>
          </w:tcPr>
          <w:p w14:paraId="614AEBB1"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203" w:type="pct"/>
            <w:vAlign w:val="center"/>
          </w:tcPr>
          <w:p w14:paraId="1240D360"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1" w:type="pct"/>
            <w:vAlign w:val="center"/>
          </w:tcPr>
          <w:p w14:paraId="5BF9B6D5"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858" w:type="pct"/>
            <w:vAlign w:val="center"/>
          </w:tcPr>
          <w:p w14:paraId="15E7E29F"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房屋名称</w:t>
            </w:r>
          </w:p>
        </w:tc>
        <w:tc>
          <w:tcPr>
            <w:tcW w:w="458" w:type="pct"/>
            <w:vAlign w:val="center"/>
          </w:tcPr>
          <w:p w14:paraId="7BEDAE0C"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09" w:type="pct"/>
            <w:vAlign w:val="center"/>
          </w:tcPr>
          <w:p w14:paraId="683AFCB7"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48" w:type="pct"/>
            <w:vAlign w:val="center"/>
          </w:tcPr>
          <w:p w14:paraId="39FDEA26"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9C6F99" w14:paraId="47FCB5F8" w14:textId="77777777">
        <w:trPr>
          <w:trHeight w:val="883"/>
        </w:trPr>
        <w:tc>
          <w:tcPr>
            <w:tcW w:w="401" w:type="pct"/>
            <w:vAlign w:val="center"/>
          </w:tcPr>
          <w:p w14:paraId="430AC27D"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203" w:type="pct"/>
            <w:vAlign w:val="center"/>
          </w:tcPr>
          <w:p w14:paraId="0ED407AF"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2022</w:t>
            </w:r>
            <w:r>
              <w:rPr>
                <w:rFonts w:eastAsia="仿宋" w:hint="eastAsia"/>
                <w:sz w:val="21"/>
                <w:szCs w:val="21"/>
              </w:rPr>
              <w:t>）苏州市不动产权第</w:t>
            </w:r>
            <w:r>
              <w:rPr>
                <w:rFonts w:eastAsia="仿宋" w:hint="eastAsia"/>
                <w:sz w:val="21"/>
                <w:szCs w:val="21"/>
              </w:rPr>
              <w:t>6100060</w:t>
            </w:r>
            <w:r>
              <w:rPr>
                <w:rFonts w:eastAsia="仿宋" w:hint="eastAsia"/>
                <w:sz w:val="21"/>
                <w:szCs w:val="21"/>
              </w:rPr>
              <w:t>号</w:t>
            </w:r>
          </w:p>
        </w:tc>
        <w:tc>
          <w:tcPr>
            <w:tcW w:w="721" w:type="pct"/>
            <w:vAlign w:val="center"/>
          </w:tcPr>
          <w:p w14:paraId="773788FB"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李永超</w:t>
            </w:r>
          </w:p>
        </w:tc>
        <w:tc>
          <w:tcPr>
            <w:tcW w:w="858" w:type="pct"/>
            <w:vAlign w:val="center"/>
          </w:tcPr>
          <w:p w14:paraId="288EFF2B"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江苏省苏州市吴中区木渎镇苏胥湾花园</w:t>
            </w:r>
            <w:r>
              <w:rPr>
                <w:rFonts w:eastAsia="仿宋" w:hint="eastAsia"/>
                <w:sz w:val="21"/>
                <w:szCs w:val="21"/>
              </w:rPr>
              <w:t>1</w:t>
            </w:r>
            <w:r>
              <w:rPr>
                <w:rFonts w:eastAsia="仿宋" w:hint="eastAsia"/>
                <w:sz w:val="21"/>
                <w:szCs w:val="21"/>
              </w:rPr>
              <w:t>幢</w:t>
            </w:r>
            <w:r>
              <w:rPr>
                <w:rFonts w:eastAsia="仿宋" w:hint="eastAsia"/>
                <w:sz w:val="21"/>
                <w:szCs w:val="21"/>
              </w:rPr>
              <w:t>1502</w:t>
            </w:r>
            <w:r>
              <w:rPr>
                <w:rFonts w:eastAsia="仿宋" w:hint="eastAsia"/>
                <w:sz w:val="21"/>
                <w:szCs w:val="21"/>
              </w:rPr>
              <w:t>室</w:t>
            </w:r>
          </w:p>
        </w:tc>
        <w:tc>
          <w:tcPr>
            <w:tcW w:w="458" w:type="pct"/>
            <w:vAlign w:val="center"/>
          </w:tcPr>
          <w:p w14:paraId="10DFE360"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15</w:t>
            </w:r>
            <w:r>
              <w:rPr>
                <w:rFonts w:eastAsia="仿宋" w:hint="eastAsia"/>
                <w:sz w:val="21"/>
                <w:szCs w:val="21"/>
              </w:rPr>
              <w:t>层</w:t>
            </w:r>
          </w:p>
        </w:tc>
        <w:tc>
          <w:tcPr>
            <w:tcW w:w="509" w:type="pct"/>
            <w:vAlign w:val="center"/>
          </w:tcPr>
          <w:p w14:paraId="782289AD"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48" w:type="pct"/>
            <w:vAlign w:val="center"/>
          </w:tcPr>
          <w:p w14:paraId="6008ADB4"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88.73</w:t>
            </w:r>
          </w:p>
        </w:tc>
      </w:tr>
    </w:tbl>
    <w:bookmarkStart w:id="27" w:name="_Toc3814"/>
    <w:p w14:paraId="44DDD44B" w14:textId="13E5922A" w:rsidR="009C6F99" w:rsidRDefault="0045026B">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r>
        <w:rPr>
          <w:rFonts w:ascii="Times New Roman" w:eastAsia="仿宋" w:hAnsi="Times New Roman"/>
          <w:sz w:val="28"/>
          <w:szCs w:val="28"/>
        </w:rPr>
        <w:t>价值</w:t>
      </w:r>
      <w:bookmarkStart w:id="28" w:name="_Hlt475689554"/>
      <w:r>
        <w:rPr>
          <w:rFonts w:ascii="Times New Roman" w:eastAsia="仿宋" w:hAnsi="Times New Roman"/>
          <w:sz w:val="28"/>
          <w:szCs w:val="28"/>
        </w:rPr>
        <w:t>类</w:t>
      </w:r>
      <w:bookmarkEnd w:id="28"/>
      <w:r>
        <w:rPr>
          <w:rFonts w:ascii="Times New Roman" w:eastAsia="仿宋" w:hAnsi="Times New Roman"/>
          <w:sz w:val="28"/>
          <w:szCs w:val="28"/>
        </w:rPr>
        <w:t>型</w:t>
      </w:r>
      <w:r>
        <w:rPr>
          <w:rFonts w:ascii="Times New Roman" w:eastAsia="仿宋" w:hAnsi="Times New Roman"/>
          <w:sz w:val="28"/>
          <w:szCs w:val="28"/>
        </w:rPr>
        <w:fldChar w:fldCharType="end"/>
      </w:r>
      <w:bookmarkEnd w:id="27"/>
    </w:p>
    <w:p w14:paraId="0D261BFD" w14:textId="77777777" w:rsidR="009C6F99" w:rsidRDefault="0045026B">
      <w:pPr>
        <w:tabs>
          <w:tab w:val="left" w:pos="0"/>
        </w:tabs>
        <w:ind w:firstLineChars="200" w:firstLine="480"/>
        <w:rPr>
          <w:rFonts w:eastAsia="仿宋"/>
        </w:rPr>
      </w:pPr>
      <w:r>
        <w:rPr>
          <w:rFonts w:eastAsia="仿宋"/>
        </w:rPr>
        <w:t>价值类型包括市场价值和市场价值以外的价值类型。市场价值以外的价值类型一般包括投资价值、在用价值、清算价值、残余价值等。根据分析目的、市场条件、委托价值分析资产的实际状况，且委托人拟将持有的金融不良资产在短时间内强制清算或变现，故本次价值分析我们选用了清算价值类型。</w:t>
      </w:r>
    </w:p>
    <w:p w14:paraId="0A0C6B1E" w14:textId="77777777" w:rsidR="009C6F99" w:rsidRDefault="0045026B">
      <w:pPr>
        <w:tabs>
          <w:tab w:val="left" w:pos="0"/>
        </w:tabs>
        <w:ind w:firstLineChars="200" w:firstLine="480"/>
        <w:rPr>
          <w:rFonts w:eastAsia="仿宋"/>
        </w:rPr>
      </w:pPr>
      <w:r>
        <w:rPr>
          <w:rFonts w:eastAsia="仿宋"/>
        </w:rPr>
        <w:lastRenderedPageBreak/>
        <w:t>清算价值是指价值分析对象处于被迫出售、快速变现等非正常市场条件下的价值估计数额</w:t>
      </w:r>
      <w:r>
        <w:rPr>
          <w:rFonts w:eastAsia="仿宋"/>
        </w:rPr>
        <w:t>。</w:t>
      </w:r>
    </w:p>
    <w:bookmarkStart w:id="29" w:name="_Toc23539"/>
    <w:p w14:paraId="197605D7" w14:textId="51CBD635" w:rsidR="009C6F99" w:rsidRDefault="0045026B">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0" w:name="_Hlt475689570"/>
      <w:r>
        <w:rPr>
          <w:rFonts w:ascii="Times New Roman" w:eastAsia="仿宋" w:hAnsi="Times New Roman"/>
          <w:sz w:val="28"/>
          <w:szCs w:val="28"/>
        </w:rPr>
        <w:t>价值分析基</w:t>
      </w:r>
      <w:bookmarkEnd w:id="30"/>
      <w:r>
        <w:rPr>
          <w:rFonts w:ascii="Times New Roman" w:eastAsia="仿宋" w:hAnsi="Times New Roman"/>
          <w:sz w:val="28"/>
          <w:szCs w:val="28"/>
        </w:rPr>
        <w:t>准日</w:t>
      </w:r>
      <w:r>
        <w:rPr>
          <w:rFonts w:ascii="Times New Roman" w:eastAsia="仿宋" w:hAnsi="Times New Roman"/>
          <w:sz w:val="28"/>
          <w:szCs w:val="28"/>
        </w:rPr>
        <w:fldChar w:fldCharType="end"/>
      </w:r>
      <w:bookmarkEnd w:id="29"/>
    </w:p>
    <w:p w14:paraId="5FCAB576" w14:textId="77777777" w:rsidR="009C6F99" w:rsidRDefault="0045026B">
      <w:pPr>
        <w:autoSpaceDE w:val="0"/>
        <w:autoSpaceDN w:val="0"/>
        <w:adjustRightInd w:val="0"/>
        <w:ind w:firstLineChars="200" w:firstLine="480"/>
        <w:rPr>
          <w:rFonts w:eastAsia="仿宋"/>
          <w:szCs w:val="24"/>
        </w:rPr>
      </w:pPr>
      <w:r>
        <w:rPr>
          <w:rFonts w:eastAsia="仿宋"/>
          <w:szCs w:val="24"/>
        </w:rPr>
        <w:t>本项目资产价值分析基准日是</w:t>
      </w:r>
      <w:r>
        <w:rPr>
          <w:rFonts w:eastAsia="仿宋" w:hint="eastAsia"/>
          <w:szCs w:val="24"/>
        </w:rPr>
        <w:t>2025</w:t>
      </w:r>
      <w:r>
        <w:rPr>
          <w:rFonts w:eastAsia="仿宋" w:hint="eastAsia"/>
          <w:szCs w:val="24"/>
        </w:rPr>
        <w:t>年</w:t>
      </w:r>
      <w:r>
        <w:rPr>
          <w:rFonts w:eastAsia="仿宋" w:hint="eastAsia"/>
          <w:szCs w:val="24"/>
        </w:rPr>
        <w:t>6</w:t>
      </w:r>
      <w:r>
        <w:rPr>
          <w:rFonts w:eastAsia="仿宋" w:hint="eastAsia"/>
          <w:szCs w:val="24"/>
        </w:rPr>
        <w:t>月</w:t>
      </w:r>
      <w:r>
        <w:rPr>
          <w:rFonts w:eastAsia="仿宋" w:hint="eastAsia"/>
          <w:szCs w:val="24"/>
        </w:rPr>
        <w:t>30</w:t>
      </w:r>
      <w:r>
        <w:rPr>
          <w:rFonts w:eastAsia="仿宋" w:hint="eastAsia"/>
          <w:szCs w:val="24"/>
        </w:rPr>
        <w:t>日</w:t>
      </w:r>
      <w:r>
        <w:rPr>
          <w:rFonts w:eastAsia="仿宋"/>
          <w:szCs w:val="24"/>
        </w:rPr>
        <w:t>。</w:t>
      </w:r>
    </w:p>
    <w:p w14:paraId="7EA05E15" w14:textId="77777777" w:rsidR="009C6F99" w:rsidRDefault="0045026B">
      <w:pPr>
        <w:autoSpaceDE w:val="0"/>
        <w:autoSpaceDN w:val="0"/>
        <w:adjustRightInd w:val="0"/>
        <w:ind w:firstLineChars="200" w:firstLine="480"/>
        <w:rPr>
          <w:rFonts w:eastAsia="仿宋"/>
          <w:szCs w:val="24"/>
        </w:rPr>
      </w:pPr>
      <w:r>
        <w:rPr>
          <w:rFonts w:eastAsia="仿宋"/>
          <w:szCs w:val="24"/>
        </w:rPr>
        <w:t>价值分析基准日是根据价值分析目的，并尽可能地与相关经济行为的实现日接近原则由委托人确定，价值分析基准日与业务委托合同载明日期一致。</w:t>
      </w:r>
    </w:p>
    <w:p w14:paraId="6946533F" w14:textId="77777777" w:rsidR="009C6F99" w:rsidRDefault="0045026B">
      <w:pPr>
        <w:autoSpaceDE w:val="0"/>
        <w:autoSpaceDN w:val="0"/>
        <w:adjustRightInd w:val="0"/>
        <w:ind w:firstLineChars="200" w:firstLine="480"/>
        <w:rPr>
          <w:rFonts w:eastAsia="仿宋"/>
          <w:szCs w:val="24"/>
        </w:rPr>
      </w:pPr>
      <w:r>
        <w:rPr>
          <w:rFonts w:eastAsia="仿宋"/>
          <w:szCs w:val="24"/>
        </w:rPr>
        <w:t>价值分析工作取价标准为价值分析基准日有效的价格取费标准。</w:t>
      </w:r>
    </w:p>
    <w:p w14:paraId="49F48F66" w14:textId="77777777" w:rsidR="009C6F99" w:rsidRDefault="0045026B">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bookmarkStart w:id="31" w:name="_Toc30321"/>
      <w:r>
        <w:rPr>
          <w:rFonts w:ascii="Times New Roman" w:eastAsia="仿宋" w:hAnsi="Times New Roman"/>
          <w:sz w:val="28"/>
          <w:szCs w:val="28"/>
        </w:rPr>
        <w:t>价值分析思路和方法</w:t>
      </w:r>
      <w:bookmarkEnd w:id="31"/>
    </w:p>
    <w:p w14:paraId="462E0B07" w14:textId="77777777" w:rsidR="009C6F99" w:rsidRDefault="0045026B">
      <w:pPr>
        <w:numPr>
          <w:ilvl w:val="0"/>
          <w:numId w:val="17"/>
        </w:numPr>
        <w:ind w:firstLineChars="200" w:firstLine="482"/>
        <w:rPr>
          <w:rFonts w:eastAsia="仿宋"/>
          <w:b/>
          <w:bCs/>
          <w:szCs w:val="24"/>
        </w:rPr>
      </w:pPr>
      <w:r>
        <w:rPr>
          <w:rFonts w:eastAsia="仿宋"/>
          <w:b/>
          <w:bCs/>
          <w:szCs w:val="24"/>
        </w:rPr>
        <w:t>价值分析思路</w:t>
      </w:r>
    </w:p>
    <w:p w14:paraId="6F69F69D" w14:textId="77777777" w:rsidR="009C6F99" w:rsidRDefault="0045026B">
      <w:pPr>
        <w:ind w:firstLineChars="200" w:firstLine="480"/>
        <w:rPr>
          <w:rFonts w:eastAsia="仿宋"/>
          <w:szCs w:val="24"/>
        </w:rPr>
      </w:pPr>
      <w:r>
        <w:rPr>
          <w:rFonts w:eastAsia="仿宋"/>
          <w:szCs w:val="24"/>
        </w:rPr>
        <w:t>对债权资产进行价值分析时可能存在多种适用的</w:t>
      </w:r>
      <w:r>
        <w:rPr>
          <w:rFonts w:eastAsia="仿宋"/>
          <w:szCs w:val="24"/>
        </w:rPr>
        <w:t>价值</w:t>
      </w:r>
      <w:r>
        <w:rPr>
          <w:rFonts w:eastAsia="仿宋"/>
          <w:szCs w:val="24"/>
        </w:rPr>
        <w:t>分析方法，不同的</w:t>
      </w:r>
      <w:r>
        <w:rPr>
          <w:rFonts w:eastAsia="仿宋"/>
          <w:szCs w:val="24"/>
        </w:rPr>
        <w:t>价值</w:t>
      </w:r>
      <w:r>
        <w:rPr>
          <w:rFonts w:eastAsia="仿宋"/>
          <w:szCs w:val="24"/>
        </w:rPr>
        <w:t>分析方法由于</w:t>
      </w:r>
      <w:r>
        <w:rPr>
          <w:rFonts w:eastAsia="仿宋"/>
          <w:szCs w:val="24"/>
        </w:rPr>
        <w:t>价值</w:t>
      </w:r>
      <w:r>
        <w:rPr>
          <w:rFonts w:eastAsia="仿宋"/>
          <w:szCs w:val="24"/>
        </w:rPr>
        <w:t>分析思路和相关假设条件、限制条件不同，得出的结论可能不同。因此债权资产价值分析应当综合考虑各种</w:t>
      </w:r>
      <w:r>
        <w:rPr>
          <w:rFonts w:eastAsia="仿宋"/>
          <w:szCs w:val="24"/>
        </w:rPr>
        <w:t>价值</w:t>
      </w:r>
      <w:r>
        <w:rPr>
          <w:rFonts w:eastAsia="仿宋"/>
          <w:szCs w:val="24"/>
        </w:rPr>
        <w:t>分析途径与方法，选用一种或多种适用的</w:t>
      </w:r>
      <w:r>
        <w:rPr>
          <w:rFonts w:eastAsia="仿宋"/>
          <w:szCs w:val="24"/>
        </w:rPr>
        <w:t>价值</w:t>
      </w:r>
      <w:r>
        <w:rPr>
          <w:rFonts w:eastAsia="仿宋"/>
          <w:szCs w:val="24"/>
        </w:rPr>
        <w:t>分析方法，并对各种</w:t>
      </w:r>
      <w:r>
        <w:rPr>
          <w:rFonts w:eastAsia="仿宋"/>
          <w:szCs w:val="24"/>
        </w:rPr>
        <w:t>价值</w:t>
      </w:r>
      <w:r>
        <w:rPr>
          <w:rFonts w:eastAsia="仿宋"/>
          <w:szCs w:val="24"/>
        </w:rPr>
        <w:t>分析方法形成的价值分析结论进行对比分析，形成最</w:t>
      </w:r>
      <w:r>
        <w:rPr>
          <w:rFonts w:eastAsia="仿宋"/>
          <w:szCs w:val="24"/>
        </w:rPr>
        <w:t>终价值分析结论。</w:t>
      </w:r>
    </w:p>
    <w:p w14:paraId="4F26D487" w14:textId="77777777" w:rsidR="009C6F99" w:rsidRDefault="0045026B">
      <w:pPr>
        <w:ind w:firstLineChars="200" w:firstLine="480"/>
        <w:rPr>
          <w:rFonts w:eastAsia="仿宋"/>
          <w:szCs w:val="24"/>
        </w:rPr>
      </w:pPr>
      <w:r>
        <w:rPr>
          <w:rFonts w:eastAsia="仿宋"/>
          <w:szCs w:val="24"/>
        </w:rPr>
        <w:t>鉴于不良债权资产形成的复杂性、多样性以及</w:t>
      </w:r>
      <w:r>
        <w:rPr>
          <w:rFonts w:eastAsia="仿宋"/>
          <w:szCs w:val="24"/>
        </w:rPr>
        <w:t>价值</w:t>
      </w:r>
      <w:r>
        <w:rPr>
          <w:rFonts w:eastAsia="仿宋"/>
          <w:szCs w:val="24"/>
        </w:rPr>
        <w:t>分析过程中的一些不确定性因素，债权资产价值分析比其他资产的价值评估和价值分析复杂。因此债权资产价值分析是对债权资产在</w:t>
      </w:r>
      <w:r>
        <w:rPr>
          <w:rFonts w:eastAsia="仿宋"/>
          <w:szCs w:val="24"/>
        </w:rPr>
        <w:t>分析</w:t>
      </w:r>
      <w:r>
        <w:rPr>
          <w:rFonts w:eastAsia="仿宋"/>
          <w:szCs w:val="24"/>
        </w:rPr>
        <w:t>基准日的价值或价值可实现程度进行分析、估算并形成专业意见的行为或过程，其分析方法主要基于两种途径：一种是以债务人和债务责任关联方为</w:t>
      </w:r>
      <w:r>
        <w:rPr>
          <w:rFonts w:eastAsia="仿宋"/>
          <w:szCs w:val="24"/>
        </w:rPr>
        <w:t>价值</w:t>
      </w:r>
      <w:r>
        <w:rPr>
          <w:rFonts w:eastAsia="仿宋"/>
          <w:szCs w:val="24"/>
        </w:rPr>
        <w:t>分析范围的途径，主要包括假设清算法、现金流偿债法和其他适用方法；另一种是以债权本身为</w:t>
      </w:r>
      <w:r>
        <w:rPr>
          <w:rFonts w:eastAsia="仿宋"/>
          <w:szCs w:val="24"/>
        </w:rPr>
        <w:t>价值</w:t>
      </w:r>
      <w:r>
        <w:rPr>
          <w:rFonts w:eastAsia="仿宋"/>
          <w:szCs w:val="24"/>
        </w:rPr>
        <w:t>分析范围的途径，主要包括交易案例比较法、专家打分法和其他适用方法。</w:t>
      </w:r>
    </w:p>
    <w:p w14:paraId="1FB423AD" w14:textId="77777777" w:rsidR="009C6F99" w:rsidRDefault="0045026B">
      <w:pPr>
        <w:ind w:firstLineChars="200" w:firstLine="480"/>
        <w:rPr>
          <w:rFonts w:eastAsia="仿宋"/>
          <w:szCs w:val="24"/>
        </w:rPr>
      </w:pPr>
      <w:r>
        <w:rPr>
          <w:rFonts w:eastAsia="仿宋"/>
          <w:szCs w:val="24"/>
        </w:rPr>
        <w:t>以债务人和债务责任关联方为</w:t>
      </w:r>
      <w:r>
        <w:rPr>
          <w:rFonts w:eastAsia="仿宋"/>
          <w:szCs w:val="24"/>
        </w:rPr>
        <w:t>价值</w:t>
      </w:r>
      <w:r>
        <w:rPr>
          <w:rFonts w:eastAsia="仿宋"/>
          <w:szCs w:val="24"/>
        </w:rPr>
        <w:t>分析范围，实际上是从债权资产涉及的债务人和债务责任关联方偿还债务能力角度进行分析的途径，主要适用于债务人或债务责任关联方主体资格存在、债务人或债务责任关联方配合并能够提供产权证明及近期财务状况等基本资料的情况。</w:t>
      </w:r>
    </w:p>
    <w:p w14:paraId="5CC95526" w14:textId="77777777" w:rsidR="009C6F99" w:rsidRDefault="0045026B">
      <w:pPr>
        <w:ind w:firstLineChars="200" w:firstLine="480"/>
        <w:rPr>
          <w:rFonts w:eastAsia="仿宋"/>
          <w:szCs w:val="24"/>
        </w:rPr>
      </w:pPr>
      <w:r>
        <w:rPr>
          <w:rFonts w:eastAsia="仿宋"/>
          <w:szCs w:val="24"/>
        </w:rPr>
        <w:t>以债权资产本身为</w:t>
      </w:r>
      <w:r>
        <w:rPr>
          <w:rFonts w:eastAsia="仿宋"/>
          <w:szCs w:val="24"/>
        </w:rPr>
        <w:t>价值</w:t>
      </w:r>
      <w:r>
        <w:rPr>
          <w:rFonts w:eastAsia="仿宋"/>
          <w:szCs w:val="24"/>
        </w:rPr>
        <w:t>分析范围的途径是指</w:t>
      </w:r>
      <w:r>
        <w:rPr>
          <w:rFonts w:eastAsia="仿宋"/>
          <w:szCs w:val="24"/>
        </w:rPr>
        <w:t>评估人员</w:t>
      </w:r>
      <w:r>
        <w:rPr>
          <w:rFonts w:eastAsia="仿宋"/>
          <w:szCs w:val="24"/>
        </w:rPr>
        <w:t>基于债权人所掌握的材料，通过市场调查、比较类似交易案例以及专家估算等手段对债权资产价值进行综合分析的一种途径。这一途径主要适用于得不到债务人、债务责任关联方配合或债务人、债</w:t>
      </w:r>
      <w:r>
        <w:rPr>
          <w:rFonts w:eastAsia="仿宋"/>
          <w:szCs w:val="24"/>
        </w:rPr>
        <w:lastRenderedPageBreak/>
        <w:t>务责任关联方不具备相关资料的情况，主要包括交易案例比较法、专家打分法和其他适用方法。</w:t>
      </w:r>
    </w:p>
    <w:p w14:paraId="32D48093" w14:textId="77777777" w:rsidR="009C6F99" w:rsidRDefault="0045026B">
      <w:pPr>
        <w:ind w:firstLineChars="200" w:firstLine="480"/>
        <w:rPr>
          <w:rFonts w:eastAsia="仿宋"/>
          <w:szCs w:val="24"/>
        </w:rPr>
      </w:pPr>
      <w:r>
        <w:rPr>
          <w:rFonts w:eastAsia="仿宋"/>
          <w:szCs w:val="24"/>
        </w:rPr>
        <w:t>本次</w:t>
      </w:r>
      <w:r>
        <w:rPr>
          <w:rFonts w:eastAsia="仿宋"/>
          <w:szCs w:val="24"/>
        </w:rPr>
        <w:t>价值分析</w:t>
      </w:r>
      <w:r>
        <w:rPr>
          <w:rFonts w:eastAsia="仿宋"/>
          <w:szCs w:val="24"/>
        </w:rPr>
        <w:t>由于得不到债务人、债务责任关联方配合，故</w:t>
      </w:r>
      <w:r>
        <w:rPr>
          <w:rFonts w:eastAsia="仿宋"/>
          <w:szCs w:val="24"/>
        </w:rPr>
        <w:t>价值</w:t>
      </w:r>
      <w:r>
        <w:rPr>
          <w:rFonts w:eastAsia="仿宋"/>
          <w:szCs w:val="24"/>
        </w:rPr>
        <w:t>分析人员选择采用以债权资产本身为</w:t>
      </w:r>
      <w:r>
        <w:rPr>
          <w:rFonts w:eastAsia="仿宋"/>
          <w:szCs w:val="24"/>
        </w:rPr>
        <w:t>价值</w:t>
      </w:r>
      <w:r>
        <w:rPr>
          <w:rFonts w:eastAsia="仿宋"/>
          <w:szCs w:val="24"/>
        </w:rPr>
        <w:t>分析范围的途径进行分析。</w:t>
      </w:r>
    </w:p>
    <w:p w14:paraId="1D556537" w14:textId="77777777" w:rsidR="009C6F99" w:rsidRDefault="0045026B">
      <w:pPr>
        <w:ind w:firstLineChars="200" w:firstLine="480"/>
        <w:rPr>
          <w:rFonts w:eastAsia="仿宋"/>
          <w:szCs w:val="24"/>
        </w:rPr>
      </w:pPr>
      <w:r>
        <w:rPr>
          <w:rFonts w:eastAsia="仿宋"/>
          <w:szCs w:val="24"/>
        </w:rPr>
        <w:t>对于采用抵押方式的债权，分析人员对债务</w:t>
      </w:r>
      <w:r>
        <w:rPr>
          <w:rFonts w:eastAsia="仿宋" w:hint="eastAsia"/>
          <w:szCs w:val="24"/>
        </w:rPr>
        <w:t>人</w:t>
      </w:r>
      <w:r>
        <w:rPr>
          <w:rFonts w:eastAsia="仿宋"/>
          <w:szCs w:val="24"/>
        </w:rPr>
        <w:t>抵押给中国工商银行股份有限公司苏州分行的抵押物进行价值估算，确定债权资产价值。</w:t>
      </w:r>
    </w:p>
    <w:p w14:paraId="7018B257" w14:textId="77777777" w:rsidR="009C6F99" w:rsidRDefault="0045026B">
      <w:pPr>
        <w:numPr>
          <w:ilvl w:val="0"/>
          <w:numId w:val="17"/>
        </w:numPr>
        <w:ind w:firstLineChars="200" w:firstLine="482"/>
        <w:rPr>
          <w:rFonts w:eastAsia="仿宋"/>
          <w:b/>
          <w:bCs/>
          <w:szCs w:val="24"/>
        </w:rPr>
      </w:pPr>
      <w:r>
        <w:rPr>
          <w:rFonts w:eastAsia="仿宋"/>
          <w:b/>
          <w:bCs/>
          <w:szCs w:val="24"/>
        </w:rPr>
        <w:t>价值分析方法</w:t>
      </w:r>
    </w:p>
    <w:p w14:paraId="7E7E98C1" w14:textId="77777777" w:rsidR="009C6F99" w:rsidRDefault="0045026B">
      <w:pPr>
        <w:numPr>
          <w:ilvl w:val="0"/>
          <w:numId w:val="18"/>
        </w:numPr>
        <w:ind w:left="0" w:firstLineChars="200" w:firstLine="480"/>
        <w:rPr>
          <w:rFonts w:eastAsia="仿宋"/>
          <w:szCs w:val="24"/>
        </w:rPr>
      </w:pPr>
      <w:r>
        <w:rPr>
          <w:rFonts w:eastAsia="仿宋"/>
          <w:szCs w:val="24"/>
        </w:rPr>
        <w:t>抵</w:t>
      </w:r>
      <w:r>
        <w:rPr>
          <w:rFonts w:eastAsia="仿宋"/>
          <w:szCs w:val="24"/>
        </w:rPr>
        <w:t>押物概况</w:t>
      </w:r>
    </w:p>
    <w:p w14:paraId="59B72CB5" w14:textId="77777777" w:rsidR="009C6F99" w:rsidRDefault="0045026B">
      <w:pPr>
        <w:ind w:firstLineChars="200" w:firstLine="480"/>
        <w:rPr>
          <w:rFonts w:eastAsia="仿宋"/>
          <w:szCs w:val="24"/>
        </w:rPr>
      </w:pPr>
      <w:r>
        <w:rPr>
          <w:rFonts w:eastAsia="仿宋"/>
          <w:szCs w:val="24"/>
        </w:rPr>
        <w:t>本次债权涉及的抵押物具体情况如下表：</w:t>
      </w:r>
    </w:p>
    <w:tbl>
      <w:tblPr>
        <w:tblStyle w:val="Tabellenraster"/>
        <w:tblW w:w="4997" w:type="pct"/>
        <w:tblLook w:val="04A0" w:firstRow="1" w:lastRow="0" w:firstColumn="1" w:lastColumn="0" w:noHBand="0" w:noVBand="1"/>
      </w:tblPr>
      <w:tblGrid>
        <w:gridCol w:w="714"/>
        <w:gridCol w:w="2156"/>
        <w:gridCol w:w="1324"/>
        <w:gridCol w:w="1664"/>
        <w:gridCol w:w="786"/>
        <w:gridCol w:w="962"/>
        <w:gridCol w:w="1518"/>
      </w:tblGrid>
      <w:tr w:rsidR="009C6F99" w14:paraId="43BA29A5" w14:textId="77777777">
        <w:tc>
          <w:tcPr>
            <w:tcW w:w="391" w:type="pct"/>
            <w:vAlign w:val="center"/>
          </w:tcPr>
          <w:p w14:paraId="633AFAB0"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1180" w:type="pct"/>
            <w:vAlign w:val="center"/>
          </w:tcPr>
          <w:p w14:paraId="68B01118"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权证编号</w:t>
            </w:r>
          </w:p>
        </w:tc>
        <w:tc>
          <w:tcPr>
            <w:tcW w:w="725" w:type="pct"/>
            <w:vAlign w:val="center"/>
          </w:tcPr>
          <w:p w14:paraId="458CB9C8"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证载权利人</w:t>
            </w:r>
          </w:p>
        </w:tc>
        <w:tc>
          <w:tcPr>
            <w:tcW w:w="911" w:type="pct"/>
            <w:vAlign w:val="center"/>
          </w:tcPr>
          <w:p w14:paraId="42C0155B"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431" w:type="pct"/>
            <w:vAlign w:val="center"/>
          </w:tcPr>
          <w:p w14:paraId="5E002CE2"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层数</w:t>
            </w:r>
          </w:p>
        </w:tc>
        <w:tc>
          <w:tcPr>
            <w:tcW w:w="527" w:type="pct"/>
            <w:vAlign w:val="center"/>
          </w:tcPr>
          <w:p w14:paraId="47C6B85C"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用途</w:t>
            </w:r>
          </w:p>
        </w:tc>
        <w:tc>
          <w:tcPr>
            <w:tcW w:w="832" w:type="pct"/>
            <w:vAlign w:val="center"/>
          </w:tcPr>
          <w:p w14:paraId="2D9B8E98"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r>
      <w:tr w:rsidR="009C6F99" w14:paraId="10E41ECB" w14:textId="77777777">
        <w:trPr>
          <w:trHeight w:val="1054"/>
        </w:trPr>
        <w:tc>
          <w:tcPr>
            <w:tcW w:w="391" w:type="pct"/>
            <w:vAlign w:val="center"/>
          </w:tcPr>
          <w:p w14:paraId="57DC8345"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1180" w:type="pct"/>
            <w:vAlign w:val="center"/>
          </w:tcPr>
          <w:p w14:paraId="41A4D039"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苏（</w:t>
            </w:r>
            <w:r>
              <w:rPr>
                <w:rFonts w:eastAsia="仿宋" w:hint="eastAsia"/>
                <w:sz w:val="21"/>
                <w:szCs w:val="21"/>
              </w:rPr>
              <w:t>2022</w:t>
            </w:r>
            <w:r>
              <w:rPr>
                <w:rFonts w:eastAsia="仿宋" w:hint="eastAsia"/>
                <w:sz w:val="21"/>
                <w:szCs w:val="21"/>
              </w:rPr>
              <w:t>）苏州市不动产权第</w:t>
            </w:r>
            <w:r>
              <w:rPr>
                <w:rFonts w:eastAsia="仿宋" w:hint="eastAsia"/>
                <w:sz w:val="21"/>
                <w:szCs w:val="21"/>
              </w:rPr>
              <w:t>6100060</w:t>
            </w:r>
            <w:r>
              <w:rPr>
                <w:rFonts w:eastAsia="仿宋" w:hint="eastAsia"/>
                <w:sz w:val="21"/>
                <w:szCs w:val="21"/>
              </w:rPr>
              <w:t>号</w:t>
            </w:r>
          </w:p>
        </w:tc>
        <w:tc>
          <w:tcPr>
            <w:tcW w:w="725" w:type="pct"/>
            <w:vAlign w:val="center"/>
          </w:tcPr>
          <w:p w14:paraId="6AD4F298"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李永超</w:t>
            </w:r>
          </w:p>
        </w:tc>
        <w:tc>
          <w:tcPr>
            <w:tcW w:w="911" w:type="pct"/>
            <w:vAlign w:val="center"/>
          </w:tcPr>
          <w:p w14:paraId="066BB3E6"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江苏省苏州市吴中区木渎镇苏胥湾花园</w:t>
            </w:r>
            <w:r>
              <w:rPr>
                <w:rFonts w:eastAsia="仿宋" w:hint="eastAsia"/>
                <w:sz w:val="21"/>
                <w:szCs w:val="21"/>
              </w:rPr>
              <w:t>1</w:t>
            </w:r>
            <w:r>
              <w:rPr>
                <w:rFonts w:eastAsia="仿宋" w:hint="eastAsia"/>
                <w:sz w:val="21"/>
                <w:szCs w:val="21"/>
              </w:rPr>
              <w:t>幢</w:t>
            </w:r>
            <w:r>
              <w:rPr>
                <w:rFonts w:eastAsia="仿宋" w:hint="eastAsia"/>
                <w:sz w:val="21"/>
                <w:szCs w:val="21"/>
              </w:rPr>
              <w:t>1502</w:t>
            </w:r>
            <w:r>
              <w:rPr>
                <w:rFonts w:eastAsia="仿宋" w:hint="eastAsia"/>
                <w:sz w:val="21"/>
                <w:szCs w:val="21"/>
              </w:rPr>
              <w:t>室</w:t>
            </w:r>
          </w:p>
        </w:tc>
        <w:tc>
          <w:tcPr>
            <w:tcW w:w="431" w:type="pct"/>
            <w:vAlign w:val="center"/>
          </w:tcPr>
          <w:p w14:paraId="6CE129A3"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15</w:t>
            </w:r>
            <w:r>
              <w:rPr>
                <w:rFonts w:eastAsia="仿宋" w:hint="eastAsia"/>
                <w:sz w:val="21"/>
                <w:szCs w:val="21"/>
              </w:rPr>
              <w:t>层</w:t>
            </w:r>
          </w:p>
        </w:tc>
        <w:tc>
          <w:tcPr>
            <w:tcW w:w="527" w:type="pct"/>
            <w:vAlign w:val="center"/>
          </w:tcPr>
          <w:p w14:paraId="15073D11"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住宅</w:t>
            </w:r>
          </w:p>
        </w:tc>
        <w:tc>
          <w:tcPr>
            <w:tcW w:w="832" w:type="pct"/>
            <w:vAlign w:val="center"/>
          </w:tcPr>
          <w:p w14:paraId="51BE698D"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88.73</w:t>
            </w:r>
          </w:p>
        </w:tc>
      </w:tr>
    </w:tbl>
    <w:p w14:paraId="1A7DF9AF" w14:textId="77777777" w:rsidR="009C6F99" w:rsidRDefault="0045026B">
      <w:pPr>
        <w:numPr>
          <w:ilvl w:val="0"/>
          <w:numId w:val="18"/>
        </w:numPr>
        <w:spacing w:beforeLines="50" w:before="120"/>
        <w:ind w:left="0" w:firstLineChars="200" w:firstLine="480"/>
        <w:rPr>
          <w:rFonts w:eastAsia="仿宋"/>
          <w:szCs w:val="24"/>
        </w:rPr>
      </w:pPr>
      <w:r>
        <w:rPr>
          <w:rFonts w:eastAsia="仿宋"/>
          <w:szCs w:val="24"/>
        </w:rPr>
        <w:t>抵押物价值估算方法</w:t>
      </w:r>
    </w:p>
    <w:p w14:paraId="6DE0814B" w14:textId="77777777" w:rsidR="009C6F99" w:rsidRDefault="0045026B">
      <w:pPr>
        <w:autoSpaceDE w:val="0"/>
        <w:autoSpaceDN w:val="0"/>
        <w:adjustRightInd w:val="0"/>
        <w:ind w:firstLineChars="200" w:firstLine="480"/>
        <w:rPr>
          <w:rFonts w:eastAsia="仿宋"/>
          <w:szCs w:val="24"/>
        </w:rPr>
      </w:pPr>
      <w:r>
        <w:rPr>
          <w:rFonts w:eastAsia="仿宋"/>
          <w:szCs w:val="24"/>
        </w:rPr>
        <w:t>抵押物可偿债金额为抵押物可回收金额、资产抵押债权金额、</w:t>
      </w:r>
      <w:r>
        <w:rPr>
          <w:rFonts w:eastAsia="仿宋" w:hint="eastAsia"/>
          <w:szCs w:val="24"/>
        </w:rPr>
        <w:t>抵押</w:t>
      </w:r>
      <w:r>
        <w:rPr>
          <w:rFonts w:eastAsia="仿宋"/>
          <w:szCs w:val="24"/>
        </w:rPr>
        <w:t>权利价值三者中孰低者。</w:t>
      </w:r>
    </w:p>
    <w:p w14:paraId="58CD0877" w14:textId="77777777" w:rsidR="009C6F99" w:rsidRDefault="0045026B">
      <w:pPr>
        <w:autoSpaceDE w:val="0"/>
        <w:autoSpaceDN w:val="0"/>
        <w:adjustRightInd w:val="0"/>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快速变现系数</w:t>
      </w:r>
      <w:r>
        <w:rPr>
          <w:rFonts w:eastAsia="仿宋"/>
          <w:szCs w:val="24"/>
        </w:rPr>
        <w:t>×</w:t>
      </w:r>
      <w:r>
        <w:rPr>
          <w:rFonts w:eastAsia="仿宋"/>
          <w:szCs w:val="24"/>
        </w:rPr>
        <w:t>折现系数</w:t>
      </w:r>
      <w:r>
        <w:rPr>
          <w:rFonts w:ascii="仿宋" w:eastAsia="仿宋" w:hAnsi="仿宋" w:cs="仿宋" w:hint="eastAsia"/>
          <w:szCs w:val="24"/>
        </w:rPr>
        <w:t>-</w:t>
      </w:r>
      <w:r>
        <w:rPr>
          <w:rFonts w:eastAsia="仿宋"/>
          <w:szCs w:val="24"/>
        </w:rPr>
        <w:t>抵押物处置费用</w:t>
      </w:r>
      <w:r>
        <w:rPr>
          <w:rFonts w:ascii="仿宋" w:eastAsia="仿宋" w:hAnsi="仿宋" w:cs="仿宋" w:hint="eastAsia"/>
          <w:szCs w:val="24"/>
        </w:rPr>
        <w:t>-</w:t>
      </w:r>
      <w:r>
        <w:rPr>
          <w:rFonts w:eastAsia="仿宋"/>
          <w:szCs w:val="24"/>
        </w:rPr>
        <w:t>安置费用</w:t>
      </w:r>
    </w:p>
    <w:p w14:paraId="4CCA9E90" w14:textId="77777777" w:rsidR="009C6F99" w:rsidRDefault="0045026B">
      <w:pPr>
        <w:ind w:firstLineChars="200" w:firstLine="480"/>
        <w:rPr>
          <w:rFonts w:eastAsia="仿宋"/>
          <w:szCs w:val="24"/>
        </w:rPr>
      </w:pPr>
      <w:r>
        <w:rPr>
          <w:rFonts w:eastAsia="仿宋"/>
          <w:szCs w:val="24"/>
        </w:rPr>
        <w:t>资产抵押债权金额为资产进行抵押所确定的金额，具体以相关登记信息为依据确定。</w:t>
      </w:r>
    </w:p>
    <w:p w14:paraId="1431D248" w14:textId="77777777" w:rsidR="009C6F99" w:rsidRDefault="0045026B">
      <w:pPr>
        <w:ind w:firstLineChars="200" w:firstLine="480"/>
      </w:pPr>
      <w:r>
        <w:rPr>
          <w:rFonts w:eastAsia="仿宋" w:hint="eastAsia"/>
          <w:szCs w:val="24"/>
        </w:rPr>
        <w:t>抵押</w:t>
      </w:r>
      <w:r>
        <w:rPr>
          <w:rFonts w:eastAsia="仿宋"/>
          <w:szCs w:val="24"/>
        </w:rPr>
        <w:t>权利价值为被担保主债权数额，具体以相关登记信息为依据确定。</w:t>
      </w:r>
    </w:p>
    <w:p w14:paraId="565CD112" w14:textId="77777777" w:rsidR="009C6F99" w:rsidRDefault="0045026B">
      <w:pPr>
        <w:numPr>
          <w:ilvl w:val="0"/>
          <w:numId w:val="19"/>
        </w:numPr>
        <w:ind w:left="0" w:firstLineChars="200" w:firstLine="480"/>
        <w:rPr>
          <w:rFonts w:eastAsia="仿宋"/>
          <w:szCs w:val="24"/>
        </w:rPr>
      </w:pPr>
      <w:r>
        <w:rPr>
          <w:rFonts w:eastAsia="仿宋"/>
          <w:szCs w:val="24"/>
        </w:rPr>
        <w:t>抵押物正常交易条件下的市场价值</w:t>
      </w:r>
    </w:p>
    <w:p w14:paraId="41CD933B" w14:textId="77777777" w:rsidR="009C6F99" w:rsidRDefault="0045026B">
      <w:pPr>
        <w:pStyle w:val="Textkrper-Erstzeileneinzug2"/>
        <w:spacing w:after="0"/>
        <w:ind w:leftChars="0" w:left="0" w:firstLine="480"/>
        <w:rPr>
          <w:rFonts w:eastAsia="仿宋"/>
          <w:szCs w:val="24"/>
        </w:rPr>
      </w:pPr>
      <w:r>
        <w:rPr>
          <w:rFonts w:eastAsia="仿宋"/>
          <w:szCs w:val="24"/>
        </w:rPr>
        <w:t>由于本次抵押物为住宅类房地产，根据市场调查，房地产所处地区住宅用房交易活跃，交易价格透明，根据价值分析目的、价值分析对象、价值类型、资料收集情况等，市场法能较好体现其市场价值。因此，本次采用市场法对抵押物进行评估。</w:t>
      </w:r>
    </w:p>
    <w:p w14:paraId="0696034C" w14:textId="77777777" w:rsidR="009C6F99" w:rsidRDefault="0045026B">
      <w:pPr>
        <w:ind w:firstLineChars="200" w:firstLine="480"/>
        <w:rPr>
          <w:rFonts w:eastAsia="仿宋"/>
          <w:szCs w:val="24"/>
        </w:rPr>
      </w:pPr>
      <w:r>
        <w:rPr>
          <w:rFonts w:eastAsia="仿宋"/>
          <w:szCs w:val="24"/>
        </w:rPr>
        <w:t>市场法是依据替代原则，通过对与待估房地产类似的参照物的交易价格进行修正调整，得出待估房地产价值的方法。房地产评估的市场法也称</w:t>
      </w:r>
      <w:r>
        <w:rPr>
          <w:rFonts w:eastAsia="仿宋"/>
          <w:szCs w:val="24"/>
        </w:rPr>
        <w:t>为比较法。是在价值分析基准日的近期房地产市场中搜集多个与待估房地产在区位、实物、权益状况、交易方式、成交日期、用途等具有可比性的类似房地产交易实例，从中选取不少于</w:t>
      </w:r>
      <w:r>
        <w:rPr>
          <w:rFonts w:eastAsia="仿宋"/>
          <w:szCs w:val="24"/>
        </w:rPr>
        <w:t>3</w:t>
      </w:r>
      <w:r>
        <w:rPr>
          <w:rFonts w:eastAsia="仿宋"/>
          <w:szCs w:val="24"/>
        </w:rPr>
        <w:t>个交易类型适合价值分析目的、成交日期接近价值分析基准日、成交价格为正常价格或可以修正为正常价格的交易实例为可比实例，建立比较基础，然后采用直接比较调整的</w:t>
      </w:r>
      <w:r>
        <w:rPr>
          <w:rFonts w:eastAsia="仿宋"/>
          <w:szCs w:val="24"/>
        </w:rPr>
        <w:lastRenderedPageBreak/>
        <w:t>方式、按百分比调整的方法，进行交易情况修正、市场状况调整和房地产状况调整等，最后求取待估房地产于价值分析基准日的比准价格。计算公式为：</w:t>
      </w:r>
    </w:p>
    <w:p w14:paraId="44092B50" w14:textId="77777777" w:rsidR="009C6F99" w:rsidRDefault="0045026B">
      <w:pPr>
        <w:ind w:firstLineChars="200" w:firstLine="480"/>
        <w:rPr>
          <w:rFonts w:eastAsia="仿宋"/>
          <w:szCs w:val="24"/>
        </w:rPr>
      </w:pPr>
      <w:r>
        <w:rPr>
          <w:rFonts w:eastAsia="仿宋"/>
          <w:szCs w:val="24"/>
        </w:rPr>
        <w:t>房地产估值＝可比实例成交价格</w:t>
      </w:r>
      <w:r>
        <w:rPr>
          <w:rFonts w:eastAsia="仿宋"/>
          <w:szCs w:val="24"/>
        </w:rPr>
        <w:t>×</w:t>
      </w:r>
      <w:r>
        <w:rPr>
          <w:rFonts w:eastAsia="仿宋"/>
          <w:szCs w:val="24"/>
        </w:rPr>
        <w:t>（正常交易情况指数</w:t>
      </w:r>
      <w:r>
        <w:rPr>
          <w:rFonts w:eastAsia="仿宋"/>
          <w:szCs w:val="24"/>
        </w:rPr>
        <w:t>/</w:t>
      </w:r>
      <w:r>
        <w:rPr>
          <w:rFonts w:eastAsia="仿宋"/>
          <w:szCs w:val="24"/>
        </w:rPr>
        <w:t>可比实例交</w:t>
      </w:r>
      <w:r>
        <w:rPr>
          <w:rFonts w:eastAsia="仿宋"/>
          <w:szCs w:val="24"/>
        </w:rPr>
        <w:t>易情况指数）</w:t>
      </w:r>
      <w:r>
        <w:rPr>
          <w:rFonts w:eastAsia="仿宋"/>
          <w:szCs w:val="24"/>
        </w:rPr>
        <w:t>×</w:t>
      </w:r>
      <w:r>
        <w:rPr>
          <w:rFonts w:eastAsia="仿宋"/>
          <w:szCs w:val="24"/>
        </w:rPr>
        <w:t>（基准日市场价格指数</w:t>
      </w:r>
      <w:r>
        <w:rPr>
          <w:rFonts w:eastAsia="仿宋"/>
          <w:szCs w:val="24"/>
        </w:rPr>
        <w:t>/</w:t>
      </w:r>
      <w:r>
        <w:rPr>
          <w:rFonts w:eastAsia="仿宋"/>
          <w:szCs w:val="24"/>
        </w:rPr>
        <w:t>可比实例交易日市场价格指数）</w:t>
      </w:r>
      <w:r>
        <w:rPr>
          <w:rFonts w:eastAsia="仿宋"/>
          <w:szCs w:val="24"/>
        </w:rPr>
        <w:t>×</w:t>
      </w:r>
      <w:r>
        <w:rPr>
          <w:rFonts w:eastAsia="仿宋"/>
          <w:szCs w:val="24"/>
        </w:rPr>
        <w:t>（待估对象区位因素条件指数</w:t>
      </w:r>
      <w:r>
        <w:rPr>
          <w:rFonts w:eastAsia="仿宋"/>
          <w:szCs w:val="24"/>
        </w:rPr>
        <w:t>/</w:t>
      </w:r>
      <w:r>
        <w:rPr>
          <w:rFonts w:eastAsia="仿宋"/>
          <w:szCs w:val="24"/>
        </w:rPr>
        <w:t>可比实例区位因素条件指数）</w:t>
      </w:r>
      <w:r>
        <w:rPr>
          <w:rFonts w:eastAsia="仿宋"/>
          <w:szCs w:val="24"/>
        </w:rPr>
        <w:t>×</w:t>
      </w:r>
      <w:r>
        <w:rPr>
          <w:rFonts w:eastAsia="仿宋"/>
          <w:szCs w:val="24"/>
        </w:rPr>
        <w:t>（待估对象实物因素条件指数</w:t>
      </w:r>
      <w:r>
        <w:rPr>
          <w:rFonts w:eastAsia="仿宋"/>
          <w:szCs w:val="24"/>
        </w:rPr>
        <w:t>/</w:t>
      </w:r>
      <w:r>
        <w:rPr>
          <w:rFonts w:eastAsia="仿宋"/>
          <w:szCs w:val="24"/>
        </w:rPr>
        <w:t>可比实例实物因素条件指数）</w:t>
      </w:r>
      <w:r>
        <w:rPr>
          <w:rFonts w:eastAsia="仿宋"/>
          <w:szCs w:val="24"/>
        </w:rPr>
        <w:t>×</w:t>
      </w:r>
      <w:r>
        <w:rPr>
          <w:rFonts w:eastAsia="仿宋"/>
          <w:szCs w:val="24"/>
        </w:rPr>
        <w:t>（待估对象权益状况指数</w:t>
      </w:r>
      <w:r>
        <w:rPr>
          <w:rFonts w:eastAsia="仿宋"/>
          <w:szCs w:val="24"/>
        </w:rPr>
        <w:t>/</w:t>
      </w:r>
      <w:r>
        <w:rPr>
          <w:rFonts w:eastAsia="仿宋"/>
          <w:szCs w:val="24"/>
        </w:rPr>
        <w:t>可比实例权益状况指数）</w:t>
      </w:r>
    </w:p>
    <w:p w14:paraId="2ECF7873" w14:textId="77777777" w:rsidR="009C6F99" w:rsidRDefault="0045026B">
      <w:pPr>
        <w:ind w:firstLineChars="200" w:firstLine="480"/>
        <w:rPr>
          <w:rFonts w:eastAsia="仿宋"/>
          <w:szCs w:val="24"/>
        </w:rPr>
      </w:pPr>
      <w:r>
        <w:rPr>
          <w:rFonts w:eastAsia="仿宋"/>
          <w:szCs w:val="24"/>
        </w:rPr>
        <w:t>经估算，抵押物正常交易条件下的市场价值具体如下：</w:t>
      </w:r>
    </w:p>
    <w:tbl>
      <w:tblPr>
        <w:tblStyle w:val="Tabellenraster"/>
        <w:tblW w:w="4997" w:type="pct"/>
        <w:tblLook w:val="04A0" w:firstRow="1" w:lastRow="0" w:firstColumn="1" w:lastColumn="0" w:noHBand="0" w:noVBand="1"/>
      </w:tblPr>
      <w:tblGrid>
        <w:gridCol w:w="733"/>
        <w:gridCol w:w="1756"/>
        <w:gridCol w:w="2162"/>
        <w:gridCol w:w="1396"/>
        <w:gridCol w:w="1531"/>
        <w:gridCol w:w="1546"/>
      </w:tblGrid>
      <w:tr w:rsidR="009C6F99" w14:paraId="1CA737C7" w14:textId="77777777">
        <w:tc>
          <w:tcPr>
            <w:tcW w:w="401" w:type="pct"/>
            <w:vAlign w:val="center"/>
          </w:tcPr>
          <w:p w14:paraId="684CAC31"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序号</w:t>
            </w:r>
          </w:p>
        </w:tc>
        <w:tc>
          <w:tcPr>
            <w:tcW w:w="962" w:type="pct"/>
            <w:vAlign w:val="center"/>
          </w:tcPr>
          <w:p w14:paraId="6076BA87"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债务人</w:t>
            </w:r>
          </w:p>
        </w:tc>
        <w:tc>
          <w:tcPr>
            <w:tcW w:w="1184" w:type="pct"/>
            <w:vAlign w:val="center"/>
          </w:tcPr>
          <w:p w14:paraId="45DEA802"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房屋坐落位置</w:t>
            </w:r>
          </w:p>
        </w:tc>
        <w:tc>
          <w:tcPr>
            <w:tcW w:w="765" w:type="pct"/>
            <w:vAlign w:val="center"/>
          </w:tcPr>
          <w:p w14:paraId="09E01BD6"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建筑面积（㎡）</w:t>
            </w:r>
          </w:p>
        </w:tc>
        <w:tc>
          <w:tcPr>
            <w:tcW w:w="839" w:type="pct"/>
            <w:vAlign w:val="center"/>
          </w:tcPr>
          <w:p w14:paraId="7598A2AD"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房地产单价</w:t>
            </w:r>
          </w:p>
          <w:p w14:paraId="7BA5C10D"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（元</w:t>
            </w:r>
            <w:r>
              <w:rPr>
                <w:rFonts w:eastAsia="仿宋"/>
                <w:sz w:val="21"/>
                <w:szCs w:val="21"/>
              </w:rPr>
              <w:t>/</w:t>
            </w:r>
            <w:r>
              <w:rPr>
                <w:rFonts w:eastAsia="仿宋"/>
                <w:sz w:val="21"/>
                <w:szCs w:val="21"/>
              </w:rPr>
              <w:t>㎡）</w:t>
            </w:r>
          </w:p>
        </w:tc>
        <w:tc>
          <w:tcPr>
            <w:tcW w:w="847" w:type="pct"/>
            <w:vAlign w:val="center"/>
          </w:tcPr>
          <w:p w14:paraId="20EC19D1"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市场价值</w:t>
            </w:r>
            <w:r>
              <w:rPr>
                <w:rFonts w:eastAsia="仿宋"/>
                <w:sz w:val="21"/>
                <w:szCs w:val="21"/>
              </w:rPr>
              <w:t>（元）</w:t>
            </w:r>
          </w:p>
        </w:tc>
      </w:tr>
      <w:tr w:rsidR="009C6F99" w14:paraId="674BEAB6" w14:textId="77777777">
        <w:trPr>
          <w:trHeight w:val="1053"/>
        </w:trPr>
        <w:tc>
          <w:tcPr>
            <w:tcW w:w="401" w:type="pct"/>
            <w:vAlign w:val="center"/>
          </w:tcPr>
          <w:p w14:paraId="56138065"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sz w:val="21"/>
                <w:szCs w:val="21"/>
              </w:rPr>
              <w:t>1</w:t>
            </w:r>
          </w:p>
        </w:tc>
        <w:tc>
          <w:tcPr>
            <w:tcW w:w="962" w:type="pct"/>
            <w:vAlign w:val="center"/>
          </w:tcPr>
          <w:p w14:paraId="453177E3"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李永超、段红宇</w:t>
            </w:r>
          </w:p>
        </w:tc>
        <w:tc>
          <w:tcPr>
            <w:tcW w:w="1184" w:type="pct"/>
            <w:vAlign w:val="center"/>
          </w:tcPr>
          <w:p w14:paraId="15D10719"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江苏省苏州市吴中区木渎镇苏胥湾花园</w:t>
            </w:r>
            <w:r>
              <w:rPr>
                <w:rFonts w:eastAsia="仿宋" w:hint="eastAsia"/>
                <w:sz w:val="21"/>
                <w:szCs w:val="21"/>
              </w:rPr>
              <w:t>1</w:t>
            </w:r>
            <w:r>
              <w:rPr>
                <w:rFonts w:eastAsia="仿宋" w:hint="eastAsia"/>
                <w:sz w:val="21"/>
                <w:szCs w:val="21"/>
              </w:rPr>
              <w:t>幢</w:t>
            </w:r>
            <w:r>
              <w:rPr>
                <w:rFonts w:eastAsia="仿宋" w:hint="eastAsia"/>
                <w:sz w:val="21"/>
                <w:szCs w:val="21"/>
              </w:rPr>
              <w:t>1502</w:t>
            </w:r>
            <w:r>
              <w:rPr>
                <w:rFonts w:eastAsia="仿宋" w:hint="eastAsia"/>
                <w:sz w:val="21"/>
                <w:szCs w:val="21"/>
              </w:rPr>
              <w:t>室</w:t>
            </w:r>
          </w:p>
        </w:tc>
        <w:tc>
          <w:tcPr>
            <w:tcW w:w="765" w:type="pct"/>
            <w:vAlign w:val="center"/>
          </w:tcPr>
          <w:p w14:paraId="0F0A1670"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88.73</w:t>
            </w:r>
          </w:p>
        </w:tc>
        <w:tc>
          <w:tcPr>
            <w:tcW w:w="839" w:type="pct"/>
            <w:vAlign w:val="center"/>
          </w:tcPr>
          <w:p w14:paraId="110B7DB0"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13,894.00</w:t>
            </w:r>
          </w:p>
        </w:tc>
        <w:tc>
          <w:tcPr>
            <w:tcW w:w="847" w:type="pct"/>
            <w:vAlign w:val="center"/>
          </w:tcPr>
          <w:p w14:paraId="00E188DB" w14:textId="77777777" w:rsidR="009C6F99" w:rsidRDefault="0045026B">
            <w:pPr>
              <w:autoSpaceDE w:val="0"/>
              <w:autoSpaceDN w:val="0"/>
              <w:adjustRightInd w:val="0"/>
              <w:spacing w:line="240" w:lineRule="auto"/>
              <w:ind w:firstLine="0"/>
              <w:jc w:val="center"/>
              <w:rPr>
                <w:rFonts w:eastAsia="仿宋"/>
                <w:sz w:val="21"/>
                <w:szCs w:val="21"/>
              </w:rPr>
            </w:pPr>
            <w:r>
              <w:rPr>
                <w:rFonts w:eastAsia="仿宋" w:hint="eastAsia"/>
                <w:sz w:val="21"/>
                <w:szCs w:val="21"/>
              </w:rPr>
              <w:t>1,232,815.00</w:t>
            </w:r>
          </w:p>
        </w:tc>
      </w:tr>
    </w:tbl>
    <w:p w14:paraId="667827F3" w14:textId="77777777" w:rsidR="009C6F99" w:rsidRDefault="0045026B">
      <w:pPr>
        <w:numPr>
          <w:ilvl w:val="0"/>
          <w:numId w:val="19"/>
        </w:numPr>
        <w:spacing w:beforeLines="50" w:before="120"/>
        <w:ind w:left="0" w:firstLineChars="200" w:firstLine="480"/>
        <w:rPr>
          <w:rFonts w:eastAsia="仿宋"/>
          <w:szCs w:val="24"/>
        </w:rPr>
      </w:pPr>
      <w:r>
        <w:rPr>
          <w:rFonts w:eastAsia="仿宋"/>
          <w:szCs w:val="24"/>
        </w:rPr>
        <w:t>抵押物可变现净值的确定</w:t>
      </w:r>
    </w:p>
    <w:p w14:paraId="2AA186CC" w14:textId="77777777" w:rsidR="009C6F99" w:rsidRDefault="0045026B">
      <w:pPr>
        <w:ind w:firstLineChars="200" w:firstLine="480"/>
        <w:rPr>
          <w:rFonts w:eastAsia="仿宋"/>
          <w:szCs w:val="24"/>
        </w:rPr>
      </w:pPr>
      <w:r>
        <w:rPr>
          <w:rFonts w:eastAsia="仿宋"/>
          <w:szCs w:val="24"/>
        </w:rPr>
        <w:t>估算时根据有关政策，结合委估资产处置的特点，分析影响价值分析对象强制变现的因素构成，在证据较为充分的前提下将这些因素体现在价值分析方法的运用中。这些因素包括但不限于以下因素：房地产的价值大小、房地产的区位、房地产的通用性、房地产的独立使用性、房地产的市场状况以及房地产的处置方式等。</w:t>
      </w:r>
    </w:p>
    <w:p w14:paraId="11BCFAB5" w14:textId="77777777" w:rsidR="009C6F99" w:rsidRDefault="0045026B">
      <w:pPr>
        <w:ind w:firstLineChars="200" w:firstLine="480"/>
        <w:rPr>
          <w:rFonts w:eastAsia="仿宋"/>
          <w:szCs w:val="24"/>
        </w:rPr>
      </w:pPr>
      <w:r>
        <w:rPr>
          <w:rFonts w:eastAsia="仿宋"/>
          <w:szCs w:val="24"/>
        </w:rPr>
        <w:t>快速变现系数</w:t>
      </w:r>
      <w:r>
        <w:rPr>
          <w:rFonts w:eastAsia="仿宋"/>
          <w:szCs w:val="24"/>
        </w:rPr>
        <w:t>=</w:t>
      </w:r>
      <w:r>
        <w:rPr>
          <w:rFonts w:eastAsia="仿宋"/>
          <w:szCs w:val="24"/>
        </w:rPr>
        <w:t>价值大小调整系数</w:t>
      </w:r>
      <w:r>
        <w:rPr>
          <w:rFonts w:eastAsia="仿宋"/>
          <w:szCs w:val="24"/>
        </w:rPr>
        <w:t>×</w:t>
      </w:r>
      <w:r>
        <w:rPr>
          <w:rFonts w:eastAsia="仿宋"/>
          <w:szCs w:val="24"/>
        </w:rPr>
        <w:t>区位调整系数</w:t>
      </w:r>
      <w:r>
        <w:rPr>
          <w:rFonts w:eastAsia="仿宋"/>
          <w:szCs w:val="24"/>
        </w:rPr>
        <w:t>×</w:t>
      </w:r>
      <w:r>
        <w:rPr>
          <w:rFonts w:eastAsia="仿宋"/>
          <w:szCs w:val="24"/>
        </w:rPr>
        <w:t>通用性调整系数</w:t>
      </w:r>
      <w:r>
        <w:rPr>
          <w:rFonts w:eastAsia="仿宋"/>
          <w:szCs w:val="24"/>
        </w:rPr>
        <w:t>×</w:t>
      </w:r>
      <w:r>
        <w:rPr>
          <w:rFonts w:eastAsia="仿宋"/>
          <w:szCs w:val="24"/>
        </w:rPr>
        <w:t>独立使用性调整系数</w:t>
      </w:r>
      <w:r>
        <w:rPr>
          <w:rFonts w:eastAsia="仿宋"/>
          <w:szCs w:val="24"/>
        </w:rPr>
        <w:t>×</w:t>
      </w:r>
      <w:r>
        <w:rPr>
          <w:rFonts w:eastAsia="仿宋"/>
          <w:szCs w:val="24"/>
        </w:rPr>
        <w:t>市场状况调整系数</w:t>
      </w:r>
      <w:r>
        <w:rPr>
          <w:rFonts w:eastAsia="仿宋"/>
          <w:szCs w:val="24"/>
        </w:rPr>
        <w:t>×</w:t>
      </w:r>
      <w:r>
        <w:rPr>
          <w:rFonts w:eastAsia="仿宋"/>
          <w:szCs w:val="24"/>
        </w:rPr>
        <w:t>处置方式调整系数</w:t>
      </w:r>
    </w:p>
    <w:p w14:paraId="19EAA6E1" w14:textId="77777777" w:rsidR="009C6F99" w:rsidRDefault="0045026B">
      <w:pPr>
        <w:ind w:firstLineChars="200" w:firstLine="480"/>
        <w:rPr>
          <w:rFonts w:eastAsia="仿宋"/>
          <w:szCs w:val="24"/>
        </w:rPr>
      </w:pPr>
      <w:r>
        <w:rPr>
          <w:rFonts w:eastAsia="仿宋"/>
          <w:szCs w:val="24"/>
        </w:rPr>
        <w:t>经计算，快速变现系数为</w:t>
      </w:r>
      <w:r>
        <w:rPr>
          <w:rFonts w:eastAsia="仿宋"/>
          <w:szCs w:val="24"/>
        </w:rPr>
        <w:t>0.7</w:t>
      </w:r>
      <w:r>
        <w:rPr>
          <w:rFonts w:eastAsia="仿宋"/>
          <w:szCs w:val="24"/>
        </w:rPr>
        <w:t>。</w:t>
      </w:r>
    </w:p>
    <w:p w14:paraId="5A10D742" w14:textId="77777777" w:rsidR="009C6F99" w:rsidRDefault="0045026B">
      <w:pPr>
        <w:ind w:firstLineChars="200" w:firstLine="480"/>
        <w:rPr>
          <w:rFonts w:eastAsia="仿宋"/>
          <w:szCs w:val="24"/>
        </w:rPr>
      </w:pPr>
      <w:r>
        <w:rPr>
          <w:rFonts w:eastAsia="仿宋"/>
          <w:szCs w:val="24"/>
        </w:rPr>
        <w:t>抵押物</w:t>
      </w:r>
      <w:r>
        <w:rPr>
          <w:rFonts w:eastAsia="仿宋" w:hint="eastAsia"/>
          <w:szCs w:val="24"/>
        </w:rPr>
        <w:t>清算价值</w:t>
      </w:r>
      <w:r>
        <w:rPr>
          <w:rFonts w:eastAsia="仿宋"/>
          <w:szCs w:val="24"/>
        </w:rPr>
        <w:t>=</w:t>
      </w:r>
      <w:r>
        <w:rPr>
          <w:rFonts w:eastAsia="仿宋"/>
          <w:szCs w:val="24"/>
        </w:rPr>
        <w:t>抵押物正常交易条件下的市场价值</w:t>
      </w:r>
      <w:r>
        <w:rPr>
          <w:rFonts w:eastAsia="仿宋"/>
          <w:szCs w:val="24"/>
        </w:rPr>
        <w:t>×</w:t>
      </w:r>
      <w:r>
        <w:rPr>
          <w:rFonts w:eastAsia="仿宋"/>
          <w:szCs w:val="24"/>
        </w:rPr>
        <w:t>快速变</w:t>
      </w:r>
      <w:r>
        <w:rPr>
          <w:rFonts w:eastAsia="仿宋"/>
          <w:szCs w:val="24"/>
        </w:rPr>
        <w:t>现系数</w:t>
      </w:r>
    </w:p>
    <w:p w14:paraId="531EF0CB" w14:textId="77777777" w:rsidR="009C6F99" w:rsidRDefault="0045026B">
      <w:pPr>
        <w:ind w:firstLineChars="200" w:firstLine="480"/>
        <w:rPr>
          <w:rFonts w:eastAsia="仿宋"/>
          <w:szCs w:val="24"/>
        </w:rPr>
      </w:pPr>
      <w:r>
        <w:rPr>
          <w:rFonts w:eastAsia="仿宋"/>
          <w:szCs w:val="24"/>
        </w:rPr>
        <w:t xml:space="preserve">              =1,232,815.00×0.7</w:t>
      </w:r>
    </w:p>
    <w:p w14:paraId="65087236" w14:textId="77777777" w:rsidR="009C6F99" w:rsidRDefault="0045026B">
      <w:pPr>
        <w:ind w:firstLineChars="200" w:firstLine="480"/>
      </w:pPr>
      <w:r>
        <w:rPr>
          <w:rFonts w:eastAsia="仿宋"/>
          <w:szCs w:val="24"/>
        </w:rPr>
        <w:t xml:space="preserve">              =862,971.00</w:t>
      </w:r>
      <w:r>
        <w:rPr>
          <w:rFonts w:eastAsia="仿宋"/>
          <w:szCs w:val="24"/>
        </w:rPr>
        <w:t>元（取整）</w:t>
      </w:r>
    </w:p>
    <w:p w14:paraId="101272FD" w14:textId="77777777" w:rsidR="009C6F99" w:rsidRDefault="0045026B">
      <w:pPr>
        <w:pStyle w:val="Textkrper-Erstzeileneinzug2"/>
        <w:spacing w:after="0"/>
        <w:ind w:leftChars="0" w:left="0" w:firstLine="480"/>
        <w:rPr>
          <w:rFonts w:eastAsia="仿宋"/>
          <w:szCs w:val="24"/>
        </w:rPr>
      </w:pPr>
      <w:r>
        <w:rPr>
          <w:rFonts w:eastAsia="仿宋"/>
          <w:szCs w:val="24"/>
        </w:rPr>
        <w:t>根据委托人提供的抵押物处置计划，预计抵押物清收将于第三年下半年完成，因此折现系数确定方法如下：本次采用全国银行间同业拆借中心公布的</w:t>
      </w:r>
      <w:r>
        <w:rPr>
          <w:rFonts w:eastAsia="仿宋"/>
          <w:szCs w:val="24"/>
        </w:rPr>
        <w:t>1</w:t>
      </w:r>
      <w:r>
        <w:rPr>
          <w:rFonts w:eastAsia="仿宋"/>
          <w:szCs w:val="24"/>
        </w:rPr>
        <w:t>年期贷款市场报价利率（</w:t>
      </w:r>
      <w:r>
        <w:rPr>
          <w:rFonts w:eastAsia="仿宋"/>
          <w:szCs w:val="24"/>
        </w:rPr>
        <w:t>LPR</w:t>
      </w:r>
      <w:r>
        <w:rPr>
          <w:rFonts w:eastAsia="仿宋"/>
          <w:szCs w:val="24"/>
        </w:rPr>
        <w:t>）作为折现率。截至价值分析基准日，</w:t>
      </w:r>
      <w:r>
        <w:rPr>
          <w:rFonts w:eastAsia="仿宋"/>
          <w:szCs w:val="24"/>
        </w:rPr>
        <w:t>1</w:t>
      </w:r>
      <w:r>
        <w:rPr>
          <w:rFonts w:eastAsia="仿宋"/>
          <w:szCs w:val="24"/>
        </w:rPr>
        <w:t>年期</w:t>
      </w:r>
      <w:r>
        <w:rPr>
          <w:rFonts w:eastAsia="仿宋"/>
          <w:szCs w:val="24"/>
        </w:rPr>
        <w:t>LPR</w:t>
      </w:r>
      <w:r>
        <w:rPr>
          <w:rFonts w:eastAsia="仿宋"/>
          <w:szCs w:val="24"/>
        </w:rPr>
        <w:t>为</w:t>
      </w:r>
      <w:r>
        <w:rPr>
          <w:rFonts w:eastAsia="仿宋"/>
          <w:szCs w:val="24"/>
        </w:rPr>
        <w:t>3%</w:t>
      </w:r>
      <w:r>
        <w:rPr>
          <w:rFonts w:eastAsia="仿宋"/>
          <w:szCs w:val="24"/>
        </w:rPr>
        <w:t>。根据抵押物处置计划确定折现年限为</w:t>
      </w:r>
      <w:r>
        <w:rPr>
          <w:rFonts w:eastAsia="仿宋"/>
          <w:szCs w:val="24"/>
        </w:rPr>
        <w:t>2.25</w:t>
      </w:r>
      <w:r>
        <w:rPr>
          <w:rFonts w:eastAsia="仿宋"/>
          <w:szCs w:val="24"/>
        </w:rPr>
        <w:t>年。</w:t>
      </w:r>
    </w:p>
    <w:p w14:paraId="2ED20092" w14:textId="77777777" w:rsidR="009C6F99" w:rsidRDefault="0045026B">
      <w:pPr>
        <w:pStyle w:val="Textkrper-Erstzeileneinzug2"/>
        <w:spacing w:after="0"/>
        <w:ind w:leftChars="0" w:left="0" w:firstLine="480"/>
        <w:rPr>
          <w:rFonts w:eastAsia="仿宋"/>
          <w:szCs w:val="24"/>
        </w:rPr>
      </w:pPr>
      <w:r>
        <w:rPr>
          <w:rFonts w:eastAsia="仿宋"/>
          <w:szCs w:val="24"/>
        </w:rPr>
        <w:t>折现系数</w:t>
      </w:r>
      <w:r>
        <w:rPr>
          <w:rFonts w:eastAsia="仿宋"/>
          <w:szCs w:val="24"/>
        </w:rPr>
        <w:t>=1/</w:t>
      </w:r>
      <w:r>
        <w:rPr>
          <w:rFonts w:eastAsia="仿宋"/>
          <w:szCs w:val="24"/>
        </w:rPr>
        <w:t>（</w:t>
      </w:r>
      <w:r>
        <w:rPr>
          <w:rFonts w:eastAsia="仿宋"/>
          <w:szCs w:val="24"/>
        </w:rPr>
        <w:t>1+3%</w:t>
      </w:r>
      <w:r>
        <w:rPr>
          <w:rFonts w:eastAsia="仿宋"/>
          <w:szCs w:val="24"/>
        </w:rPr>
        <w:t>）</w:t>
      </w:r>
      <w:r>
        <w:rPr>
          <w:rFonts w:eastAsia="仿宋"/>
          <w:szCs w:val="24"/>
        </w:rPr>
        <w:t>^2.25</w:t>
      </w:r>
    </w:p>
    <w:p w14:paraId="496C9E68" w14:textId="77777777" w:rsidR="009C6F99" w:rsidRDefault="0045026B">
      <w:pPr>
        <w:ind w:firstLineChars="200" w:firstLine="480"/>
        <w:rPr>
          <w:rFonts w:eastAsia="仿宋"/>
          <w:szCs w:val="24"/>
        </w:rPr>
      </w:pPr>
      <w:r>
        <w:rPr>
          <w:rFonts w:eastAsia="仿宋"/>
          <w:szCs w:val="24"/>
        </w:rPr>
        <w:t xml:space="preserve">        =0.9357</w:t>
      </w:r>
      <w:r>
        <w:rPr>
          <w:rFonts w:eastAsia="仿宋"/>
          <w:szCs w:val="24"/>
        </w:rPr>
        <w:t>（保留四位小数）</w:t>
      </w:r>
    </w:p>
    <w:p w14:paraId="6705CC8D" w14:textId="77777777" w:rsidR="009C6F99" w:rsidRDefault="0045026B">
      <w:pPr>
        <w:ind w:firstLineChars="200" w:firstLine="480"/>
        <w:rPr>
          <w:rFonts w:eastAsia="仿宋"/>
          <w:szCs w:val="24"/>
        </w:rPr>
      </w:pPr>
      <w:r>
        <w:rPr>
          <w:rFonts w:eastAsia="仿宋"/>
          <w:szCs w:val="24"/>
        </w:rPr>
        <w:t>抵押物可变现净值</w:t>
      </w:r>
      <w:r>
        <w:rPr>
          <w:rFonts w:eastAsia="仿宋"/>
          <w:szCs w:val="24"/>
        </w:rPr>
        <w:t>=</w:t>
      </w:r>
      <w:r>
        <w:rPr>
          <w:rFonts w:eastAsia="仿宋"/>
          <w:szCs w:val="24"/>
        </w:rPr>
        <w:t>抵押物</w:t>
      </w:r>
      <w:r>
        <w:rPr>
          <w:rFonts w:eastAsia="仿宋" w:hint="eastAsia"/>
          <w:szCs w:val="24"/>
        </w:rPr>
        <w:t>清算价值</w:t>
      </w:r>
      <w:r>
        <w:rPr>
          <w:rFonts w:eastAsia="仿宋"/>
          <w:szCs w:val="24"/>
        </w:rPr>
        <w:t>×</w:t>
      </w:r>
      <w:r>
        <w:rPr>
          <w:rFonts w:eastAsia="仿宋"/>
          <w:szCs w:val="24"/>
        </w:rPr>
        <w:t>折现系数</w:t>
      </w:r>
    </w:p>
    <w:p w14:paraId="64853615" w14:textId="77777777" w:rsidR="009C6F99" w:rsidRDefault="0045026B">
      <w:pPr>
        <w:ind w:firstLineChars="200" w:firstLine="480"/>
        <w:rPr>
          <w:rFonts w:eastAsia="仿宋"/>
          <w:szCs w:val="24"/>
        </w:rPr>
      </w:pPr>
      <w:r>
        <w:rPr>
          <w:rFonts w:eastAsia="仿宋"/>
          <w:szCs w:val="24"/>
        </w:rPr>
        <w:t xml:space="preserve">                =862,971.00×0.9357</w:t>
      </w:r>
    </w:p>
    <w:p w14:paraId="65789CF1" w14:textId="77777777" w:rsidR="009C6F99" w:rsidRDefault="0045026B">
      <w:pPr>
        <w:ind w:firstLineChars="200" w:firstLine="480"/>
      </w:pPr>
      <w:r>
        <w:rPr>
          <w:rFonts w:eastAsia="仿宋"/>
          <w:szCs w:val="24"/>
        </w:rPr>
        <w:t xml:space="preserve">                =807,482.00</w:t>
      </w:r>
      <w:r>
        <w:rPr>
          <w:rFonts w:eastAsia="仿宋"/>
          <w:szCs w:val="24"/>
        </w:rPr>
        <w:t>元（取整）</w:t>
      </w:r>
    </w:p>
    <w:p w14:paraId="5F29B72B" w14:textId="77777777" w:rsidR="009C6F99" w:rsidRDefault="0045026B">
      <w:pPr>
        <w:numPr>
          <w:ilvl w:val="0"/>
          <w:numId w:val="19"/>
        </w:numPr>
        <w:ind w:left="0" w:firstLineChars="200" w:firstLine="480"/>
      </w:pPr>
      <w:r>
        <w:rPr>
          <w:rFonts w:eastAsia="仿宋"/>
          <w:szCs w:val="24"/>
        </w:rPr>
        <w:lastRenderedPageBreak/>
        <w:t>抵押物处置费用及安置费用的确定</w:t>
      </w:r>
    </w:p>
    <w:p w14:paraId="5E64E2DB" w14:textId="77777777" w:rsidR="009C6F99" w:rsidRDefault="0045026B">
      <w:pPr>
        <w:pStyle w:val="Textkrper-Erstzeileneinzug2"/>
        <w:spacing w:after="0"/>
        <w:ind w:leftChars="0" w:left="0" w:firstLine="480"/>
      </w:pPr>
      <w:r>
        <w:rPr>
          <w:rFonts w:eastAsia="仿宋"/>
          <w:szCs w:val="24"/>
        </w:rPr>
        <w:t>依据《人民法院诉讼收费办法》及民间借贷纠纷律师费收费标准，确定抵押物处置费用为</w:t>
      </w:r>
      <w:r>
        <w:rPr>
          <w:rFonts w:eastAsia="仿宋"/>
          <w:szCs w:val="24"/>
        </w:rPr>
        <w:t>29,032.00</w:t>
      </w:r>
      <w:r>
        <w:rPr>
          <w:rFonts w:eastAsia="仿宋"/>
          <w:szCs w:val="24"/>
        </w:rPr>
        <w:t>元。同时，由于抵押物为债务人的唯一住房，需考虑安置费用，根据委托人提供的资料，本次考虑安置费用为</w:t>
      </w:r>
      <w:r>
        <w:rPr>
          <w:rFonts w:eastAsia="仿宋"/>
          <w:szCs w:val="24"/>
        </w:rPr>
        <w:t>120,000.00</w:t>
      </w:r>
      <w:r>
        <w:rPr>
          <w:rFonts w:eastAsia="仿宋"/>
          <w:szCs w:val="24"/>
        </w:rPr>
        <w:t>元。</w:t>
      </w:r>
    </w:p>
    <w:p w14:paraId="5F5FDD86" w14:textId="77777777" w:rsidR="009C6F99" w:rsidRDefault="0045026B">
      <w:pPr>
        <w:numPr>
          <w:ilvl w:val="0"/>
          <w:numId w:val="19"/>
        </w:numPr>
        <w:ind w:left="0" w:firstLineChars="200" w:firstLine="480"/>
        <w:rPr>
          <w:rFonts w:eastAsia="仿宋"/>
          <w:szCs w:val="24"/>
        </w:rPr>
      </w:pPr>
      <w:r>
        <w:rPr>
          <w:rFonts w:eastAsia="仿宋"/>
          <w:szCs w:val="24"/>
        </w:rPr>
        <w:t>抵押物可回收金额</w:t>
      </w:r>
    </w:p>
    <w:p w14:paraId="7BC24215" w14:textId="77777777" w:rsidR="009C6F99" w:rsidRDefault="0045026B">
      <w:pPr>
        <w:ind w:firstLineChars="200" w:firstLine="480"/>
        <w:rPr>
          <w:rFonts w:eastAsia="仿宋"/>
          <w:szCs w:val="24"/>
        </w:rPr>
      </w:pPr>
      <w:r>
        <w:rPr>
          <w:rFonts w:eastAsia="仿宋"/>
          <w:szCs w:val="24"/>
        </w:rPr>
        <w:t>抵押物可回收金额</w:t>
      </w:r>
      <w:r>
        <w:rPr>
          <w:rFonts w:eastAsia="仿宋"/>
          <w:szCs w:val="24"/>
        </w:rPr>
        <w:t>=</w:t>
      </w:r>
      <w:r>
        <w:rPr>
          <w:rFonts w:eastAsia="仿宋"/>
          <w:szCs w:val="24"/>
        </w:rPr>
        <w:t>抵押物折现价值</w:t>
      </w:r>
      <w:r>
        <w:rPr>
          <w:rFonts w:eastAsia="仿宋"/>
          <w:szCs w:val="24"/>
        </w:rPr>
        <w:t>-</w:t>
      </w:r>
      <w:r>
        <w:rPr>
          <w:rFonts w:eastAsia="仿宋"/>
          <w:szCs w:val="24"/>
        </w:rPr>
        <w:t>抵押物处置费用</w:t>
      </w:r>
      <w:r>
        <w:rPr>
          <w:rFonts w:eastAsia="仿宋"/>
          <w:szCs w:val="24"/>
        </w:rPr>
        <w:t>-</w:t>
      </w:r>
      <w:r>
        <w:rPr>
          <w:rFonts w:eastAsia="仿宋"/>
          <w:szCs w:val="24"/>
        </w:rPr>
        <w:t>安置费用</w:t>
      </w:r>
    </w:p>
    <w:p w14:paraId="666E08C0" w14:textId="77777777" w:rsidR="009C6F99" w:rsidRDefault="0045026B">
      <w:pPr>
        <w:pStyle w:val="Textkrper-Erstzeileneinzug2"/>
        <w:spacing w:after="0"/>
        <w:ind w:leftChars="0" w:left="0" w:firstLine="480"/>
        <w:rPr>
          <w:rFonts w:eastAsia="仿宋"/>
          <w:szCs w:val="24"/>
        </w:rPr>
      </w:pPr>
      <w:r>
        <w:rPr>
          <w:rFonts w:eastAsia="仿宋"/>
          <w:szCs w:val="24"/>
        </w:rPr>
        <w:t xml:space="preserve">                =807,482.00-29,032.00-120,000.00</w:t>
      </w:r>
    </w:p>
    <w:p w14:paraId="2652A7F6" w14:textId="77777777" w:rsidR="009C6F99" w:rsidRDefault="0045026B">
      <w:pPr>
        <w:ind w:firstLineChars="200" w:firstLine="480"/>
      </w:pPr>
      <w:r>
        <w:rPr>
          <w:rFonts w:eastAsia="仿宋"/>
          <w:szCs w:val="24"/>
        </w:rPr>
        <w:t xml:space="preserve">                =658,450.00</w:t>
      </w:r>
      <w:r>
        <w:rPr>
          <w:rFonts w:eastAsia="仿宋"/>
          <w:szCs w:val="24"/>
        </w:rPr>
        <w:t>元</w:t>
      </w:r>
    </w:p>
    <w:p w14:paraId="4C0245A8" w14:textId="77777777" w:rsidR="009C6F99" w:rsidRDefault="0045026B">
      <w:pPr>
        <w:numPr>
          <w:ilvl w:val="0"/>
          <w:numId w:val="18"/>
        </w:numPr>
        <w:ind w:left="0" w:firstLineChars="200" w:firstLine="480"/>
        <w:rPr>
          <w:rFonts w:eastAsia="仿宋"/>
          <w:szCs w:val="24"/>
        </w:rPr>
      </w:pPr>
      <w:r>
        <w:rPr>
          <w:rFonts w:eastAsia="仿宋"/>
          <w:szCs w:val="24"/>
        </w:rPr>
        <w:t>分析结论</w:t>
      </w:r>
    </w:p>
    <w:p w14:paraId="0E372E34" w14:textId="77777777" w:rsidR="009C6F99" w:rsidRDefault="0045026B">
      <w:pPr>
        <w:pStyle w:val="Textkrper-Erstzeileneinzug2"/>
        <w:spacing w:after="0"/>
        <w:ind w:leftChars="0" w:left="0" w:firstLine="480"/>
        <w:rPr>
          <w:rFonts w:eastAsia="仿宋"/>
          <w:kern w:val="0"/>
          <w:szCs w:val="24"/>
        </w:rPr>
      </w:pPr>
      <w:r>
        <w:rPr>
          <w:rFonts w:eastAsia="仿宋"/>
        </w:rPr>
        <w:t>由于抵押物可偿债金额为抵押物可回收金额、资产抵押债权金额、抵押权利价值三者中孰低者，抵押物可回收金额为</w:t>
      </w:r>
      <w:r>
        <w:rPr>
          <w:rFonts w:eastAsia="仿宋"/>
        </w:rPr>
        <w:t>658,450.00</w:t>
      </w:r>
      <w:r>
        <w:rPr>
          <w:rFonts w:eastAsia="仿宋"/>
        </w:rPr>
        <w:t>元，资产抵押债权金额为</w:t>
      </w:r>
      <w:r>
        <w:rPr>
          <w:rFonts w:eastAsia="仿宋"/>
        </w:rPr>
        <w:t>1,366,233.69</w:t>
      </w:r>
      <w:r>
        <w:rPr>
          <w:rFonts w:eastAsia="仿宋"/>
        </w:rPr>
        <w:t>元，抵押权利价值为</w:t>
      </w:r>
      <w:r>
        <w:rPr>
          <w:rFonts w:eastAsia="仿宋"/>
        </w:rPr>
        <w:t>1,400,000.00</w:t>
      </w:r>
      <w:r>
        <w:rPr>
          <w:rFonts w:eastAsia="仿宋"/>
        </w:rPr>
        <w:t>元，抵押物可回收金额为三者最低值，所以李永超户债权资产分析价值为抵押物可回收金额，即</w:t>
      </w:r>
      <w:r>
        <w:rPr>
          <w:rFonts w:eastAsia="仿宋"/>
        </w:rPr>
        <w:t>658,4</w:t>
      </w:r>
      <w:r>
        <w:rPr>
          <w:rFonts w:eastAsia="仿宋"/>
        </w:rPr>
        <w:t>50.00</w:t>
      </w:r>
      <w:r>
        <w:rPr>
          <w:rFonts w:eastAsia="仿宋"/>
        </w:rPr>
        <w:t>元。</w:t>
      </w:r>
    </w:p>
    <w:bookmarkStart w:id="32" w:name="_Toc14196"/>
    <w:bookmarkStart w:id="33" w:name="_Toc477429873"/>
    <w:bookmarkStart w:id="34" w:name="_Toc445967582"/>
    <w:bookmarkStart w:id="35" w:name="_Toc445967717"/>
    <w:bookmarkStart w:id="36" w:name="_Toc469811363"/>
    <w:bookmarkStart w:id="37" w:name="OLE_LINK9"/>
    <w:bookmarkEnd w:id="20"/>
    <w:bookmarkEnd w:id="21"/>
    <w:bookmarkEnd w:id="22"/>
    <w:bookmarkEnd w:id="23"/>
    <w:p w14:paraId="75F43124" w14:textId="36861B23" w:rsidR="009C6F99" w:rsidRDefault="0045026B">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38" w:name="_Hlt475689621"/>
      <w:r>
        <w:rPr>
          <w:rFonts w:ascii="Times New Roman" w:eastAsia="仿宋" w:hAnsi="Times New Roman"/>
          <w:sz w:val="28"/>
          <w:szCs w:val="28"/>
        </w:rPr>
        <w:t>价值分析程序实</w:t>
      </w:r>
      <w:bookmarkEnd w:id="38"/>
      <w:r>
        <w:rPr>
          <w:rFonts w:ascii="Times New Roman" w:eastAsia="仿宋" w:hAnsi="Times New Roman"/>
          <w:sz w:val="28"/>
          <w:szCs w:val="28"/>
        </w:rPr>
        <w:t>施过程和情况</w:t>
      </w:r>
      <w:r>
        <w:rPr>
          <w:rFonts w:ascii="Times New Roman" w:eastAsia="仿宋" w:hAnsi="Times New Roman"/>
          <w:sz w:val="28"/>
          <w:szCs w:val="28"/>
        </w:rPr>
        <w:fldChar w:fldCharType="end"/>
      </w:r>
      <w:bookmarkEnd w:id="32"/>
    </w:p>
    <w:p w14:paraId="340E3162" w14:textId="77777777" w:rsidR="009C6F99" w:rsidRDefault="0045026B">
      <w:pPr>
        <w:ind w:firstLineChars="200" w:firstLine="480"/>
        <w:rPr>
          <w:rFonts w:eastAsia="仿宋"/>
          <w:szCs w:val="24"/>
        </w:rPr>
      </w:pPr>
      <w:r>
        <w:rPr>
          <w:rFonts w:eastAsia="仿宋"/>
          <w:szCs w:val="24"/>
        </w:rPr>
        <w:t>本次债权价值分析工作包括价值分析前期工作、价值分析测算工作、汇总价值分析结论，撰写价值分析报告等，主要价值分析工作过程如下：</w:t>
      </w:r>
    </w:p>
    <w:p w14:paraId="1F894775" w14:textId="77777777" w:rsidR="009C6F99" w:rsidRDefault="0045026B">
      <w:pPr>
        <w:numPr>
          <w:ilvl w:val="0"/>
          <w:numId w:val="20"/>
        </w:numPr>
        <w:ind w:firstLineChars="200" w:firstLine="482"/>
        <w:rPr>
          <w:rFonts w:eastAsia="仿宋"/>
          <w:b/>
          <w:szCs w:val="24"/>
        </w:rPr>
      </w:pPr>
      <w:r>
        <w:rPr>
          <w:rFonts w:eastAsia="仿宋"/>
          <w:b/>
          <w:szCs w:val="24"/>
        </w:rPr>
        <w:t>接受委托阶段</w:t>
      </w:r>
    </w:p>
    <w:p w14:paraId="70871896" w14:textId="77777777" w:rsidR="009C6F99" w:rsidRDefault="0045026B">
      <w:pPr>
        <w:numPr>
          <w:ilvl w:val="0"/>
          <w:numId w:val="21"/>
        </w:numPr>
        <w:ind w:left="0" w:firstLineChars="200" w:firstLine="480"/>
        <w:rPr>
          <w:rFonts w:eastAsia="仿宋"/>
          <w:szCs w:val="24"/>
        </w:rPr>
      </w:pPr>
      <w:r>
        <w:rPr>
          <w:rFonts w:eastAsia="仿宋"/>
          <w:szCs w:val="24"/>
        </w:rPr>
        <w:t>初步了解此次经济行为及委托价值分析资产的有关情况，明确债权价值分析业务相关当事人、价值分析报告的使用范围、价值分析目的、价值分析基准日、价值分析对象和范围以及价值类型等基本事项，了解所涉及的需要批准的经济行为的审批情况。</w:t>
      </w:r>
    </w:p>
    <w:p w14:paraId="09C71E78" w14:textId="77777777" w:rsidR="009C6F99" w:rsidRDefault="0045026B">
      <w:pPr>
        <w:numPr>
          <w:ilvl w:val="0"/>
          <w:numId w:val="21"/>
        </w:numPr>
        <w:ind w:left="0" w:firstLineChars="200" w:firstLine="480"/>
        <w:rPr>
          <w:rFonts w:eastAsia="仿宋"/>
          <w:szCs w:val="24"/>
        </w:rPr>
      </w:pPr>
      <w:r>
        <w:rPr>
          <w:rFonts w:eastAsia="仿宋"/>
          <w:szCs w:val="24"/>
        </w:rPr>
        <w:t>经综合分析专业胜任能力和独立性及价值分析业务风险，确定接受委</w:t>
      </w:r>
      <w:r>
        <w:rPr>
          <w:rFonts w:eastAsia="仿宋"/>
          <w:szCs w:val="24"/>
        </w:rPr>
        <w:t>托，签订委托合同。</w:t>
      </w:r>
    </w:p>
    <w:p w14:paraId="36E88B54" w14:textId="77777777" w:rsidR="009C6F99" w:rsidRDefault="0045026B">
      <w:pPr>
        <w:numPr>
          <w:ilvl w:val="0"/>
          <w:numId w:val="21"/>
        </w:numPr>
        <w:ind w:left="0" w:firstLineChars="200" w:firstLine="480"/>
        <w:rPr>
          <w:rFonts w:eastAsia="仿宋"/>
          <w:szCs w:val="24"/>
        </w:rPr>
      </w:pPr>
      <w:r>
        <w:rPr>
          <w:rFonts w:eastAsia="仿宋"/>
          <w:szCs w:val="24"/>
        </w:rPr>
        <w:t>根据规范要求，布置债权价值分析申报表和资料清单。</w:t>
      </w:r>
    </w:p>
    <w:p w14:paraId="1235F607" w14:textId="77777777" w:rsidR="009C6F99" w:rsidRDefault="0045026B">
      <w:pPr>
        <w:numPr>
          <w:ilvl w:val="0"/>
          <w:numId w:val="21"/>
        </w:numPr>
        <w:ind w:left="0" w:firstLineChars="200" w:firstLine="480"/>
        <w:rPr>
          <w:rFonts w:eastAsia="仿宋"/>
          <w:szCs w:val="24"/>
        </w:rPr>
      </w:pPr>
      <w:r>
        <w:rPr>
          <w:rFonts w:eastAsia="仿宋"/>
          <w:szCs w:val="24"/>
        </w:rPr>
        <w:t>了解可能会影响价值分析业务和价值分析结论的限制条件，按照本次债权资产的特点以及时间上的总体要求，拟定工作计划和方案，组织工作团队。</w:t>
      </w:r>
    </w:p>
    <w:p w14:paraId="3B2C1C39" w14:textId="77777777" w:rsidR="009C6F99" w:rsidRDefault="0045026B">
      <w:pPr>
        <w:numPr>
          <w:ilvl w:val="0"/>
          <w:numId w:val="20"/>
        </w:numPr>
        <w:ind w:firstLineChars="200" w:firstLine="482"/>
        <w:rPr>
          <w:rFonts w:eastAsia="仿宋"/>
          <w:b/>
          <w:szCs w:val="24"/>
        </w:rPr>
      </w:pPr>
      <w:r>
        <w:rPr>
          <w:rFonts w:eastAsia="仿宋"/>
          <w:b/>
          <w:szCs w:val="24"/>
        </w:rPr>
        <w:t>现场调查及收集整理评估资料阶段</w:t>
      </w:r>
    </w:p>
    <w:p w14:paraId="26437A98" w14:textId="77777777" w:rsidR="009C6F99" w:rsidRDefault="0045026B">
      <w:pPr>
        <w:numPr>
          <w:ilvl w:val="0"/>
          <w:numId w:val="22"/>
        </w:numPr>
        <w:ind w:left="0" w:firstLineChars="200" w:firstLine="480"/>
        <w:rPr>
          <w:rFonts w:eastAsia="仿宋"/>
          <w:szCs w:val="24"/>
        </w:rPr>
      </w:pPr>
      <w:r>
        <w:rPr>
          <w:rFonts w:eastAsia="仿宋"/>
          <w:szCs w:val="24"/>
        </w:rPr>
        <w:t>指导企业相关人员进行填表与准备相关资料</w:t>
      </w:r>
    </w:p>
    <w:p w14:paraId="05C2E26D" w14:textId="77777777" w:rsidR="009C6F99" w:rsidRDefault="0045026B">
      <w:pPr>
        <w:ind w:firstLineChars="200" w:firstLine="480"/>
        <w:rPr>
          <w:rFonts w:eastAsia="仿宋"/>
          <w:szCs w:val="24"/>
        </w:rPr>
      </w:pPr>
      <w:r>
        <w:rPr>
          <w:rFonts w:eastAsia="仿宋"/>
          <w:szCs w:val="24"/>
        </w:rPr>
        <w:t>指导企业相关的财务与资产员在清查的基础上，按照评估机构提供的</w:t>
      </w:r>
      <w:r>
        <w:rPr>
          <w:rFonts w:eastAsia="仿宋"/>
          <w:szCs w:val="24"/>
        </w:rPr>
        <w:t>“</w:t>
      </w:r>
      <w:r>
        <w:rPr>
          <w:rFonts w:eastAsia="仿宋"/>
          <w:szCs w:val="24"/>
        </w:rPr>
        <w:t>申报明细</w:t>
      </w:r>
      <w:r>
        <w:rPr>
          <w:rFonts w:eastAsia="仿宋"/>
          <w:szCs w:val="24"/>
        </w:rPr>
        <w:lastRenderedPageBreak/>
        <w:t>表</w:t>
      </w:r>
      <w:r>
        <w:rPr>
          <w:rFonts w:eastAsia="仿宋"/>
          <w:szCs w:val="24"/>
        </w:rPr>
        <w:t>”</w:t>
      </w:r>
      <w:r>
        <w:rPr>
          <w:rFonts w:eastAsia="仿宋"/>
          <w:szCs w:val="24"/>
        </w:rPr>
        <w:t>、</w:t>
      </w:r>
      <w:r>
        <w:rPr>
          <w:rFonts w:eastAsia="仿宋"/>
          <w:szCs w:val="24"/>
        </w:rPr>
        <w:t>“</w:t>
      </w:r>
      <w:r>
        <w:rPr>
          <w:rFonts w:eastAsia="仿宋"/>
          <w:szCs w:val="24"/>
        </w:rPr>
        <w:t>资料清单</w:t>
      </w:r>
      <w:r>
        <w:rPr>
          <w:rFonts w:eastAsia="仿宋"/>
          <w:szCs w:val="24"/>
        </w:rPr>
        <w:t>”</w:t>
      </w:r>
      <w:r>
        <w:rPr>
          <w:rFonts w:eastAsia="仿宋"/>
          <w:szCs w:val="24"/>
        </w:rPr>
        <w:t>及其填写要求，进行登记填报，同时收集</w:t>
      </w:r>
      <w:r>
        <w:rPr>
          <w:rFonts w:eastAsia="仿宋"/>
          <w:szCs w:val="24"/>
        </w:rPr>
        <w:t>价值分析对象</w:t>
      </w:r>
      <w:r>
        <w:rPr>
          <w:rFonts w:eastAsia="仿宋"/>
          <w:szCs w:val="24"/>
        </w:rPr>
        <w:t>及其所涉及资产的产权归属证明文件</w:t>
      </w:r>
      <w:r>
        <w:rPr>
          <w:rFonts w:eastAsia="仿宋"/>
          <w:szCs w:val="24"/>
        </w:rPr>
        <w:t>、</w:t>
      </w:r>
      <w:r>
        <w:rPr>
          <w:rFonts w:eastAsia="仿宋"/>
          <w:szCs w:val="24"/>
        </w:rPr>
        <w:t>债权相关方财务信息</w:t>
      </w:r>
      <w:r>
        <w:rPr>
          <w:rFonts w:eastAsia="仿宋"/>
          <w:szCs w:val="24"/>
        </w:rPr>
        <w:t>等的文件资料。</w:t>
      </w:r>
    </w:p>
    <w:p w14:paraId="207534D5" w14:textId="77777777" w:rsidR="009C6F99" w:rsidRDefault="0045026B">
      <w:pPr>
        <w:numPr>
          <w:ilvl w:val="0"/>
          <w:numId w:val="22"/>
        </w:numPr>
        <w:ind w:left="0" w:firstLineChars="200" w:firstLine="480"/>
        <w:rPr>
          <w:rFonts w:eastAsia="仿宋"/>
          <w:szCs w:val="24"/>
        </w:rPr>
      </w:pPr>
      <w:r>
        <w:rPr>
          <w:rFonts w:eastAsia="仿宋"/>
          <w:szCs w:val="24"/>
        </w:rPr>
        <w:t>初步审查企业提供的</w:t>
      </w:r>
      <w:r>
        <w:rPr>
          <w:rFonts w:eastAsia="仿宋"/>
          <w:szCs w:val="24"/>
        </w:rPr>
        <w:t>申报</w:t>
      </w:r>
      <w:r>
        <w:rPr>
          <w:rFonts w:eastAsia="仿宋"/>
          <w:szCs w:val="24"/>
        </w:rPr>
        <w:t>明细表</w:t>
      </w:r>
    </w:p>
    <w:p w14:paraId="4B78A2EC" w14:textId="77777777" w:rsidR="009C6F99" w:rsidRDefault="0045026B">
      <w:pPr>
        <w:ind w:firstLineChars="200" w:firstLine="480"/>
        <w:rPr>
          <w:rFonts w:eastAsia="仿宋"/>
          <w:szCs w:val="24"/>
        </w:rPr>
      </w:pPr>
      <w:r>
        <w:rPr>
          <w:rFonts w:eastAsia="仿宋"/>
          <w:szCs w:val="24"/>
        </w:rPr>
        <w:t>通过查阅有关资料，了解涉及</w:t>
      </w:r>
      <w:r>
        <w:rPr>
          <w:rFonts w:eastAsia="仿宋"/>
          <w:szCs w:val="24"/>
        </w:rPr>
        <w:t>价值分析范围</w:t>
      </w:r>
      <w:r>
        <w:rPr>
          <w:rFonts w:eastAsia="仿宋"/>
          <w:szCs w:val="24"/>
        </w:rPr>
        <w:t>内具体对象的详细状况。然后，审查</w:t>
      </w:r>
      <w:r>
        <w:rPr>
          <w:rFonts w:eastAsia="仿宋"/>
          <w:szCs w:val="24"/>
        </w:rPr>
        <w:t>申报</w:t>
      </w:r>
      <w:r>
        <w:rPr>
          <w:rFonts w:eastAsia="仿宋"/>
          <w:szCs w:val="24"/>
        </w:rPr>
        <w:t>明细表，检查有无填列不全、资产项目不明确现象，并根据经验及掌握的有关资料，检查</w:t>
      </w:r>
      <w:r>
        <w:rPr>
          <w:rFonts w:eastAsia="仿宋"/>
          <w:szCs w:val="24"/>
        </w:rPr>
        <w:t>申报</w:t>
      </w:r>
      <w:r>
        <w:rPr>
          <w:rFonts w:eastAsia="仿宋"/>
          <w:szCs w:val="24"/>
        </w:rPr>
        <w:t>明细表有无漏项等。</w:t>
      </w:r>
    </w:p>
    <w:p w14:paraId="6E0F25E0" w14:textId="77777777" w:rsidR="009C6F99" w:rsidRDefault="0045026B">
      <w:pPr>
        <w:numPr>
          <w:ilvl w:val="0"/>
          <w:numId w:val="22"/>
        </w:numPr>
        <w:ind w:left="0" w:firstLineChars="200" w:firstLine="480"/>
        <w:rPr>
          <w:rFonts w:eastAsia="仿宋"/>
          <w:szCs w:val="24"/>
        </w:rPr>
      </w:pPr>
      <w:r>
        <w:rPr>
          <w:rFonts w:eastAsia="仿宋"/>
          <w:szCs w:val="24"/>
        </w:rPr>
        <w:t>现场调查阶段</w:t>
      </w:r>
    </w:p>
    <w:p w14:paraId="562D0307" w14:textId="77777777" w:rsidR="009C6F99" w:rsidRDefault="0045026B">
      <w:pPr>
        <w:ind w:firstLineChars="200" w:firstLine="480"/>
        <w:rPr>
          <w:rFonts w:eastAsia="仿宋"/>
          <w:szCs w:val="24"/>
        </w:rPr>
      </w:pPr>
      <w:r>
        <w:rPr>
          <w:rFonts w:eastAsia="仿宋"/>
          <w:szCs w:val="24"/>
        </w:rPr>
        <w:t>因</w:t>
      </w:r>
      <w:r>
        <w:rPr>
          <w:rFonts w:eastAsia="仿宋"/>
          <w:szCs w:val="24"/>
        </w:rPr>
        <w:t>债务人</w:t>
      </w:r>
      <w:r>
        <w:rPr>
          <w:rFonts w:eastAsia="仿宋"/>
          <w:szCs w:val="24"/>
        </w:rPr>
        <w:t>无相关人员配合，本项目无法对抵押资产进行现场勘查工作</w:t>
      </w:r>
      <w:r>
        <w:rPr>
          <w:rFonts w:eastAsia="仿宋"/>
          <w:szCs w:val="24"/>
        </w:rPr>
        <w:t>。</w:t>
      </w:r>
    </w:p>
    <w:p w14:paraId="17D9F8BD" w14:textId="77777777" w:rsidR="009C6F99" w:rsidRDefault="0045026B">
      <w:pPr>
        <w:numPr>
          <w:ilvl w:val="0"/>
          <w:numId w:val="22"/>
        </w:numPr>
        <w:ind w:left="0" w:firstLineChars="200" w:firstLine="480"/>
        <w:rPr>
          <w:rFonts w:eastAsia="仿宋"/>
          <w:szCs w:val="24"/>
        </w:rPr>
      </w:pPr>
      <w:r>
        <w:rPr>
          <w:rFonts w:eastAsia="仿宋"/>
          <w:szCs w:val="24"/>
        </w:rPr>
        <w:t>收集整理价值分析资料</w:t>
      </w:r>
    </w:p>
    <w:p w14:paraId="2028324B" w14:textId="77777777" w:rsidR="009C6F99" w:rsidRDefault="0045026B">
      <w:pPr>
        <w:ind w:firstLineChars="200" w:firstLine="480"/>
        <w:rPr>
          <w:rFonts w:eastAsia="仿宋"/>
          <w:szCs w:val="24"/>
        </w:rPr>
      </w:pPr>
      <w:r>
        <w:rPr>
          <w:rFonts w:eastAsia="仿宋"/>
          <w:szCs w:val="24"/>
        </w:rPr>
        <w:t>根据业务具体情况收集</w:t>
      </w:r>
      <w:r>
        <w:rPr>
          <w:rFonts w:eastAsia="仿宋"/>
          <w:szCs w:val="24"/>
        </w:rPr>
        <w:t>价值分析</w:t>
      </w:r>
      <w:r>
        <w:rPr>
          <w:rFonts w:eastAsia="仿宋"/>
          <w:szCs w:val="24"/>
        </w:rPr>
        <w:t>资料。收集的</w:t>
      </w:r>
      <w:r>
        <w:rPr>
          <w:rFonts w:eastAsia="仿宋"/>
          <w:szCs w:val="24"/>
        </w:rPr>
        <w:t>价值分析</w:t>
      </w:r>
      <w:r>
        <w:rPr>
          <w:rFonts w:eastAsia="仿宋"/>
          <w:szCs w:val="24"/>
        </w:rPr>
        <w:t>资料包括从委托人获取的内部资料；从政府部门、各类专业机构以及市场等其他渠道获取的外部资料。同时对收集的资料进行必要分析、归纳和整理，形成</w:t>
      </w:r>
      <w:r>
        <w:rPr>
          <w:rFonts w:eastAsia="仿宋"/>
          <w:szCs w:val="24"/>
        </w:rPr>
        <w:t>分析</w:t>
      </w:r>
      <w:r>
        <w:rPr>
          <w:rFonts w:eastAsia="仿宋"/>
          <w:szCs w:val="24"/>
        </w:rPr>
        <w:t>估算和编制</w:t>
      </w:r>
      <w:r>
        <w:rPr>
          <w:rFonts w:eastAsia="仿宋"/>
          <w:szCs w:val="24"/>
        </w:rPr>
        <w:t>价值分析</w:t>
      </w:r>
      <w:r>
        <w:rPr>
          <w:rFonts w:eastAsia="仿宋"/>
          <w:szCs w:val="24"/>
        </w:rPr>
        <w:t>报告</w:t>
      </w:r>
      <w:r>
        <w:rPr>
          <w:rFonts w:eastAsia="仿宋"/>
          <w:szCs w:val="24"/>
        </w:rPr>
        <w:t>的依据。</w:t>
      </w:r>
    </w:p>
    <w:p w14:paraId="411E3399" w14:textId="77777777" w:rsidR="009C6F99" w:rsidRDefault="0045026B">
      <w:pPr>
        <w:numPr>
          <w:ilvl w:val="0"/>
          <w:numId w:val="20"/>
        </w:numPr>
        <w:ind w:firstLineChars="200" w:firstLine="482"/>
        <w:rPr>
          <w:rFonts w:eastAsia="仿宋"/>
          <w:b/>
          <w:szCs w:val="24"/>
        </w:rPr>
      </w:pPr>
      <w:r>
        <w:rPr>
          <w:rFonts w:eastAsia="仿宋"/>
          <w:b/>
          <w:szCs w:val="24"/>
        </w:rPr>
        <w:t>价值分析测算阶段</w:t>
      </w:r>
    </w:p>
    <w:p w14:paraId="3EAE51F1" w14:textId="77777777" w:rsidR="009C6F99" w:rsidRDefault="0045026B">
      <w:pPr>
        <w:numPr>
          <w:ilvl w:val="0"/>
          <w:numId w:val="23"/>
        </w:numPr>
        <w:ind w:left="0" w:firstLineChars="200" w:firstLine="480"/>
        <w:rPr>
          <w:rFonts w:eastAsia="仿宋"/>
          <w:szCs w:val="24"/>
        </w:rPr>
      </w:pPr>
      <w:r>
        <w:rPr>
          <w:rFonts w:eastAsia="仿宋"/>
          <w:szCs w:val="24"/>
        </w:rPr>
        <w:t>在明确业务基本事项的基础上，收集与资产相关的各种价格信息资料。</w:t>
      </w:r>
    </w:p>
    <w:p w14:paraId="408A70D4" w14:textId="77777777" w:rsidR="009C6F99" w:rsidRDefault="0045026B">
      <w:pPr>
        <w:numPr>
          <w:ilvl w:val="0"/>
          <w:numId w:val="23"/>
        </w:numPr>
        <w:ind w:left="0" w:firstLineChars="200" w:firstLine="480"/>
        <w:rPr>
          <w:rFonts w:eastAsia="仿宋"/>
          <w:szCs w:val="24"/>
        </w:rPr>
      </w:pPr>
      <w:r>
        <w:rPr>
          <w:rFonts w:eastAsia="仿宋"/>
          <w:szCs w:val="24"/>
        </w:rPr>
        <w:t>根据价值分析目的及所收集的资料的情况，结合资产清查核实的结果，确定适当的价值分析方法进行分析。</w:t>
      </w:r>
    </w:p>
    <w:p w14:paraId="1A174C89" w14:textId="77777777" w:rsidR="009C6F99" w:rsidRDefault="0045026B">
      <w:pPr>
        <w:numPr>
          <w:ilvl w:val="0"/>
          <w:numId w:val="23"/>
        </w:numPr>
        <w:ind w:left="0" w:firstLineChars="200" w:firstLine="480"/>
        <w:rPr>
          <w:rFonts w:eastAsia="仿宋"/>
          <w:szCs w:val="24"/>
        </w:rPr>
      </w:pPr>
      <w:r>
        <w:rPr>
          <w:rFonts w:eastAsia="仿宋"/>
          <w:szCs w:val="24"/>
        </w:rPr>
        <w:t>根据所采用的价值分析方法，估算所分析债权资产的价值。</w:t>
      </w:r>
    </w:p>
    <w:p w14:paraId="0ADFDD3E" w14:textId="77777777" w:rsidR="009C6F99" w:rsidRDefault="0045026B">
      <w:pPr>
        <w:numPr>
          <w:ilvl w:val="0"/>
          <w:numId w:val="20"/>
        </w:numPr>
        <w:ind w:firstLineChars="200" w:firstLine="482"/>
        <w:rPr>
          <w:rFonts w:eastAsia="仿宋"/>
          <w:b/>
          <w:szCs w:val="24"/>
        </w:rPr>
      </w:pPr>
      <w:r>
        <w:rPr>
          <w:rFonts w:eastAsia="仿宋"/>
          <w:b/>
          <w:szCs w:val="24"/>
        </w:rPr>
        <w:t>汇总、提交</w:t>
      </w:r>
      <w:r>
        <w:rPr>
          <w:rFonts w:eastAsia="仿宋"/>
          <w:b/>
          <w:szCs w:val="24"/>
        </w:rPr>
        <w:t>价值分析</w:t>
      </w:r>
      <w:r>
        <w:rPr>
          <w:rFonts w:eastAsia="仿宋"/>
          <w:b/>
          <w:szCs w:val="24"/>
        </w:rPr>
        <w:t>报告阶段</w:t>
      </w:r>
    </w:p>
    <w:p w14:paraId="49375336" w14:textId="77777777" w:rsidR="009C6F99" w:rsidRDefault="0045026B">
      <w:pPr>
        <w:numPr>
          <w:ilvl w:val="0"/>
          <w:numId w:val="24"/>
        </w:numPr>
        <w:ind w:left="0" w:firstLineChars="200" w:firstLine="480"/>
        <w:rPr>
          <w:rFonts w:eastAsia="仿宋"/>
          <w:szCs w:val="24"/>
        </w:rPr>
      </w:pPr>
      <w:r>
        <w:rPr>
          <w:rFonts w:eastAsia="仿宋"/>
          <w:szCs w:val="24"/>
        </w:rPr>
        <w:t>进行</w:t>
      </w:r>
      <w:r>
        <w:rPr>
          <w:rFonts w:eastAsia="仿宋"/>
          <w:szCs w:val="24"/>
        </w:rPr>
        <w:t>结论</w:t>
      </w:r>
      <w:r>
        <w:rPr>
          <w:rFonts w:eastAsia="仿宋"/>
          <w:szCs w:val="24"/>
        </w:rPr>
        <w:t>分析，对形成的初步</w:t>
      </w:r>
      <w:r>
        <w:rPr>
          <w:rFonts w:eastAsia="仿宋"/>
          <w:szCs w:val="24"/>
        </w:rPr>
        <w:t>结论</w:t>
      </w:r>
      <w:r>
        <w:rPr>
          <w:rFonts w:eastAsia="仿宋"/>
          <w:szCs w:val="24"/>
        </w:rPr>
        <w:t>进行综合分析、比较、判断、调整、修改和完善，形成</w:t>
      </w:r>
      <w:r>
        <w:rPr>
          <w:rFonts w:eastAsia="仿宋"/>
          <w:szCs w:val="24"/>
        </w:rPr>
        <w:t>价值分析结论</w:t>
      </w:r>
      <w:r>
        <w:rPr>
          <w:rFonts w:eastAsia="仿宋"/>
          <w:szCs w:val="24"/>
        </w:rPr>
        <w:t>，编制初步</w:t>
      </w:r>
      <w:r>
        <w:rPr>
          <w:rFonts w:eastAsia="仿宋"/>
          <w:szCs w:val="24"/>
        </w:rPr>
        <w:t>价值分析报告</w:t>
      </w:r>
      <w:r>
        <w:rPr>
          <w:rFonts w:eastAsia="仿宋"/>
          <w:szCs w:val="24"/>
        </w:rPr>
        <w:t>。</w:t>
      </w:r>
    </w:p>
    <w:p w14:paraId="6A802797" w14:textId="77777777" w:rsidR="009C6F99" w:rsidRDefault="0045026B">
      <w:pPr>
        <w:numPr>
          <w:ilvl w:val="0"/>
          <w:numId w:val="24"/>
        </w:numPr>
        <w:ind w:left="0" w:firstLineChars="200" w:firstLine="480"/>
        <w:rPr>
          <w:rFonts w:eastAsia="仿宋"/>
          <w:szCs w:val="24"/>
        </w:rPr>
      </w:pPr>
      <w:r>
        <w:rPr>
          <w:rFonts w:eastAsia="仿宋"/>
          <w:szCs w:val="24"/>
        </w:rPr>
        <w:t>经内部逐级复核，与委托人就</w:t>
      </w:r>
      <w:r>
        <w:rPr>
          <w:rFonts w:eastAsia="仿宋"/>
          <w:szCs w:val="24"/>
        </w:rPr>
        <w:t>价值分析报告</w:t>
      </w:r>
      <w:r>
        <w:rPr>
          <w:rFonts w:eastAsia="仿宋"/>
          <w:szCs w:val="24"/>
        </w:rPr>
        <w:t>有关内容进行必要沟通。</w:t>
      </w:r>
    </w:p>
    <w:p w14:paraId="517BB80D" w14:textId="77777777" w:rsidR="009C6F99" w:rsidRDefault="0045026B">
      <w:pPr>
        <w:numPr>
          <w:ilvl w:val="0"/>
          <w:numId w:val="24"/>
        </w:numPr>
        <w:ind w:left="0" w:firstLineChars="200" w:firstLine="480"/>
        <w:rPr>
          <w:rFonts w:eastAsia="仿宋"/>
          <w:szCs w:val="24"/>
        </w:rPr>
      </w:pPr>
      <w:r>
        <w:rPr>
          <w:rFonts w:eastAsia="仿宋"/>
          <w:szCs w:val="24"/>
        </w:rPr>
        <w:t>最终由资产评估机构出具</w:t>
      </w:r>
      <w:r>
        <w:rPr>
          <w:rFonts w:eastAsia="仿宋"/>
          <w:szCs w:val="24"/>
        </w:rPr>
        <w:t>价值分析报告</w:t>
      </w:r>
      <w:r>
        <w:rPr>
          <w:rFonts w:eastAsia="仿宋"/>
          <w:szCs w:val="24"/>
        </w:rPr>
        <w:t>并按委托合同的要求提交</w:t>
      </w:r>
      <w:r>
        <w:rPr>
          <w:rFonts w:eastAsia="仿宋"/>
          <w:szCs w:val="24"/>
        </w:rPr>
        <w:t>价值分析报告</w:t>
      </w:r>
      <w:r>
        <w:rPr>
          <w:rFonts w:eastAsia="仿宋"/>
          <w:szCs w:val="24"/>
        </w:rPr>
        <w:t>。</w:t>
      </w:r>
    </w:p>
    <w:p w14:paraId="1250AFA7" w14:textId="77777777" w:rsidR="009C6F99" w:rsidRDefault="0045026B">
      <w:pPr>
        <w:numPr>
          <w:ilvl w:val="0"/>
          <w:numId w:val="24"/>
        </w:numPr>
        <w:ind w:left="0" w:firstLineChars="200" w:firstLine="480"/>
        <w:rPr>
          <w:rFonts w:eastAsia="仿宋"/>
          <w:szCs w:val="24"/>
        </w:rPr>
      </w:pPr>
      <w:r>
        <w:rPr>
          <w:rFonts w:eastAsia="仿宋"/>
          <w:szCs w:val="24"/>
        </w:rPr>
        <w:t>按要求对工作底稿进行整理，与</w:t>
      </w:r>
      <w:r>
        <w:rPr>
          <w:rFonts w:eastAsia="仿宋"/>
          <w:szCs w:val="24"/>
        </w:rPr>
        <w:t>价值分析报告</w:t>
      </w:r>
      <w:r>
        <w:rPr>
          <w:rFonts w:eastAsia="仿宋"/>
          <w:szCs w:val="24"/>
        </w:rPr>
        <w:t>和其他材料一起形成</w:t>
      </w:r>
      <w:r>
        <w:rPr>
          <w:rFonts w:eastAsia="仿宋"/>
          <w:szCs w:val="24"/>
        </w:rPr>
        <w:t>价值分析</w:t>
      </w:r>
      <w:r>
        <w:rPr>
          <w:rFonts w:eastAsia="仿宋"/>
          <w:szCs w:val="24"/>
        </w:rPr>
        <w:t>档案。</w:t>
      </w:r>
    </w:p>
    <w:bookmarkStart w:id="39" w:name="_Toc165180891"/>
    <w:bookmarkStart w:id="40" w:name="_Toc17062"/>
    <w:bookmarkEnd w:id="33"/>
    <w:bookmarkEnd w:id="34"/>
    <w:bookmarkEnd w:id="35"/>
    <w:bookmarkEnd w:id="36"/>
    <w:bookmarkEnd w:id="37"/>
    <w:p w14:paraId="3C6F66D8" w14:textId="16FE5817" w:rsidR="009C6F99" w:rsidRDefault="0045026B">
      <w:pPr>
        <w:pStyle w:val="berschrift2"/>
        <w:numPr>
          <w:ilvl w:val="0"/>
          <w:numId w:val="14"/>
        </w:numPr>
        <w:tabs>
          <w:tab w:val="left" w:pos="567"/>
        </w:tabs>
        <w:spacing w:before="240" w:after="120" w:line="360" w:lineRule="auto"/>
        <w:ind w:left="0" w:firstLine="0"/>
        <w:rPr>
          <w:rFonts w:ascii="Times New Roman" w:eastAsia="仿宋" w:hAnsi="Times New Roman"/>
          <w:sz w:val="28"/>
          <w:szCs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41" w:name="_Hlt475689978"/>
      <w:r>
        <w:rPr>
          <w:rFonts w:ascii="Times New Roman" w:eastAsia="仿宋" w:hAnsi="Times New Roman"/>
          <w:sz w:val="28"/>
          <w:szCs w:val="28"/>
        </w:rPr>
        <w:t>价值分析假</w:t>
      </w:r>
      <w:bookmarkStart w:id="42" w:name="_Hlt475689636"/>
      <w:bookmarkEnd w:id="41"/>
      <w:r>
        <w:rPr>
          <w:rFonts w:ascii="Times New Roman" w:eastAsia="仿宋" w:hAnsi="Times New Roman"/>
          <w:sz w:val="28"/>
          <w:szCs w:val="28"/>
        </w:rPr>
        <w:t>设</w:t>
      </w:r>
      <w:bookmarkEnd w:id="39"/>
      <w:bookmarkEnd w:id="42"/>
      <w:r>
        <w:rPr>
          <w:rFonts w:ascii="Times New Roman" w:eastAsia="仿宋" w:hAnsi="Times New Roman"/>
          <w:sz w:val="28"/>
          <w:szCs w:val="28"/>
        </w:rPr>
        <w:fldChar w:fldCharType="end"/>
      </w:r>
      <w:bookmarkEnd w:id="40"/>
    </w:p>
    <w:p w14:paraId="18C949C2" w14:textId="77777777" w:rsidR="009C6F99" w:rsidRDefault="0045026B">
      <w:pPr>
        <w:pStyle w:val="Textkrper-Einzug3"/>
        <w:ind w:firstLineChars="200" w:firstLine="480"/>
        <w:rPr>
          <w:rFonts w:ascii="Times New Roman" w:eastAsia="仿宋"/>
          <w:sz w:val="24"/>
          <w:szCs w:val="22"/>
        </w:rPr>
      </w:pPr>
      <w:r>
        <w:rPr>
          <w:rFonts w:ascii="Times New Roman" w:eastAsia="仿宋"/>
          <w:sz w:val="24"/>
          <w:szCs w:val="22"/>
        </w:rPr>
        <w:t>本价值分析报告及价值分析结论的成立，依赖于以下价值分析假设：</w:t>
      </w:r>
    </w:p>
    <w:p w14:paraId="7D1F506B" w14:textId="77777777" w:rsidR="009C6F99" w:rsidRDefault="0045026B">
      <w:pPr>
        <w:numPr>
          <w:ilvl w:val="0"/>
          <w:numId w:val="25"/>
        </w:numPr>
        <w:ind w:left="0" w:firstLineChars="200" w:firstLine="480"/>
        <w:rPr>
          <w:rFonts w:eastAsia="仿宋"/>
          <w:szCs w:val="24"/>
        </w:rPr>
      </w:pPr>
      <w:bookmarkStart w:id="43" w:name="_Toc477429874"/>
      <w:bookmarkStart w:id="44" w:name="_Toc469811364"/>
      <w:bookmarkStart w:id="45" w:name="_Toc445967718"/>
      <w:bookmarkStart w:id="46" w:name="_Toc445967583"/>
      <w:r>
        <w:rPr>
          <w:rFonts w:eastAsia="仿宋"/>
          <w:szCs w:val="24"/>
        </w:rPr>
        <w:t>交易假设：</w:t>
      </w:r>
      <w:r>
        <w:rPr>
          <w:rFonts w:eastAsia="仿宋"/>
          <w:szCs w:val="24"/>
        </w:rPr>
        <w:t>假定所有待价值分析资产已经处在交易过程中，根据待价值分析资产的交易条件等模拟市场进行价值分析</w:t>
      </w:r>
      <w:r>
        <w:rPr>
          <w:rFonts w:eastAsia="仿宋"/>
          <w:szCs w:val="24"/>
        </w:rPr>
        <w:t>。</w:t>
      </w:r>
    </w:p>
    <w:p w14:paraId="355D1ADF" w14:textId="77777777" w:rsidR="009C6F99" w:rsidRDefault="0045026B">
      <w:pPr>
        <w:numPr>
          <w:ilvl w:val="0"/>
          <w:numId w:val="25"/>
        </w:numPr>
        <w:ind w:left="0" w:firstLineChars="200" w:firstLine="480"/>
        <w:rPr>
          <w:rFonts w:eastAsia="仿宋"/>
          <w:szCs w:val="24"/>
        </w:rPr>
      </w:pPr>
      <w:r>
        <w:rPr>
          <w:rFonts w:eastAsia="仿宋"/>
          <w:szCs w:val="24"/>
        </w:rPr>
        <w:lastRenderedPageBreak/>
        <w:t>公开市场假设：</w:t>
      </w:r>
      <w:r>
        <w:rPr>
          <w:rFonts w:eastAsia="仿宋"/>
          <w:szCs w:val="24"/>
        </w:rPr>
        <w:t>假定待价值分析资产在公开市场中进行交易，从而实现其市场价值。资产的市场价值受市场机制的制约并由市场行情决定，而不是由个别交易决定。这里的公开市场是指充分发达与完善的市场条件，是一个有自愿的买者和卖者的竞争性市场，在这个市场上，买者和卖者的地位是平等的，彼此都有获得足够市场信息的机会和时间，买卖双方的交易行为都是在自愿的、理智的，而非强制或不受限制的条件下进行的</w:t>
      </w:r>
      <w:r>
        <w:rPr>
          <w:rFonts w:eastAsia="仿宋"/>
          <w:szCs w:val="24"/>
        </w:rPr>
        <w:t>。</w:t>
      </w:r>
    </w:p>
    <w:p w14:paraId="4FDCBC8B" w14:textId="77777777" w:rsidR="009C6F99" w:rsidRDefault="0045026B">
      <w:pPr>
        <w:numPr>
          <w:ilvl w:val="0"/>
          <w:numId w:val="25"/>
        </w:numPr>
        <w:ind w:left="0" w:firstLineChars="200" w:firstLine="480"/>
        <w:rPr>
          <w:rFonts w:eastAsia="仿宋"/>
          <w:szCs w:val="24"/>
        </w:rPr>
      </w:pPr>
      <w:r>
        <w:rPr>
          <w:rFonts w:eastAsia="仿宋"/>
          <w:szCs w:val="24"/>
        </w:rPr>
        <w:t>清算假设：是对资产拟进入的市场条件的一种假定说明或限定。具体而言，是对资产在非公开市场条件下被迫出售或快速变现条件的假定。首先是基于价值分析对象面临清算或具有潜在的被清算的事实或可能性，再根据相应资料推定价值分析对象处于被迫出售或快速变现的状态。</w:t>
      </w:r>
    </w:p>
    <w:p w14:paraId="623A1109" w14:textId="77777777" w:rsidR="009C6F99" w:rsidRDefault="0045026B">
      <w:pPr>
        <w:numPr>
          <w:ilvl w:val="0"/>
          <w:numId w:val="25"/>
        </w:numPr>
        <w:ind w:left="0" w:firstLineChars="200" w:firstLine="480"/>
        <w:rPr>
          <w:rFonts w:eastAsia="仿宋"/>
          <w:szCs w:val="24"/>
        </w:rPr>
      </w:pPr>
      <w:r>
        <w:rPr>
          <w:rFonts w:eastAsia="仿宋"/>
          <w:szCs w:val="24"/>
        </w:rPr>
        <w:t>国家现行的有关法律、法规及政策，国家宏观经济形势无重大变化；本次交易各方所处地区的政治、经济和社会环境无重大变化。</w:t>
      </w:r>
    </w:p>
    <w:p w14:paraId="68AC7FBA" w14:textId="77777777" w:rsidR="009C6F99" w:rsidRDefault="0045026B">
      <w:pPr>
        <w:numPr>
          <w:ilvl w:val="0"/>
          <w:numId w:val="25"/>
        </w:numPr>
        <w:ind w:left="0" w:firstLineChars="200" w:firstLine="480"/>
        <w:rPr>
          <w:rFonts w:eastAsia="仿宋"/>
          <w:szCs w:val="24"/>
        </w:rPr>
      </w:pPr>
      <w:r>
        <w:rPr>
          <w:rFonts w:eastAsia="仿宋"/>
          <w:szCs w:val="24"/>
        </w:rPr>
        <w:t>本价值分析项目委托人提供的与本项目相关的权属证明、财务会计信息和其他资料真实、完整、合法。</w:t>
      </w:r>
    </w:p>
    <w:p w14:paraId="3CACED45" w14:textId="77777777" w:rsidR="009C6F99" w:rsidRDefault="0045026B">
      <w:pPr>
        <w:numPr>
          <w:ilvl w:val="0"/>
          <w:numId w:val="25"/>
        </w:numPr>
        <w:ind w:left="0" w:firstLineChars="200" w:firstLine="480"/>
        <w:rPr>
          <w:rFonts w:eastAsia="仿宋"/>
          <w:szCs w:val="24"/>
        </w:rPr>
      </w:pPr>
      <w:r>
        <w:rPr>
          <w:rFonts w:eastAsia="仿宋"/>
          <w:szCs w:val="24"/>
        </w:rPr>
        <w:t>无其他不可预测和不可抗力因素造成的重大不利影响。</w:t>
      </w:r>
    </w:p>
    <w:p w14:paraId="51173CB8" w14:textId="77777777" w:rsidR="009C6F99" w:rsidRDefault="0045026B">
      <w:pPr>
        <w:ind w:firstLineChars="200" w:firstLine="482"/>
        <w:rPr>
          <w:rFonts w:eastAsia="仿宋"/>
          <w:b/>
          <w:bCs/>
          <w:szCs w:val="22"/>
        </w:rPr>
      </w:pPr>
      <w:r>
        <w:rPr>
          <w:rFonts w:eastAsia="仿宋"/>
          <w:b/>
          <w:bCs/>
          <w:szCs w:val="22"/>
        </w:rPr>
        <w:t>本评估</w:t>
      </w:r>
      <w:r>
        <w:rPr>
          <w:rFonts w:eastAsia="仿宋"/>
          <w:b/>
          <w:bCs/>
          <w:szCs w:val="22"/>
        </w:rPr>
        <w:t>结论是以上述评估假设为前提得出的，在上述评估假设变化时，本评估结论无效。</w:t>
      </w:r>
    </w:p>
    <w:bookmarkStart w:id="47" w:name="_Toc165180895"/>
    <w:bookmarkStart w:id="48" w:name="_Toc445967721"/>
    <w:bookmarkStart w:id="49" w:name="_Toc469811367"/>
    <w:bookmarkStart w:id="50" w:name="_Toc477429877"/>
    <w:bookmarkStart w:id="51" w:name="_Toc445967586"/>
    <w:bookmarkStart w:id="52" w:name="_Toc30541"/>
    <w:bookmarkEnd w:id="43"/>
    <w:bookmarkEnd w:id="44"/>
    <w:bookmarkEnd w:id="45"/>
    <w:bookmarkEnd w:id="46"/>
    <w:p w14:paraId="038131B8" w14:textId="016EE971" w:rsidR="009C6F99" w:rsidRDefault="0045026B">
      <w:pPr>
        <w:pStyle w:val="berschrift2"/>
        <w:numPr>
          <w:ilvl w:val="0"/>
          <w:numId w:val="14"/>
        </w:numPr>
        <w:tabs>
          <w:tab w:val="left" w:pos="567"/>
        </w:tabs>
        <w:spacing w:before="240" w:after="120" w:line="360" w:lineRule="auto"/>
        <w:rPr>
          <w:rFonts w:ascii="Times New Roman" w:eastAsia="仿宋" w:hAnsi="Times New Roman"/>
          <w:sz w:val="28"/>
        </w:rPr>
      </w:pPr>
      <w:r>
        <w:rPr>
          <w:rFonts w:ascii="Times New Roman" w:eastAsia="仿宋" w:hAnsi="Times New Roman"/>
          <w:sz w:val="28"/>
          <w:szCs w:val="28"/>
        </w:rPr>
        <w:fldChar w:fldCharType="begin"/>
      </w:r>
      <w:r>
        <w:rPr>
          <w:rFonts w:ascii="Times New Roman" w:eastAsia="仿宋" w:hAnsi="Times New Roman"/>
          <w:sz w:val="28"/>
          <w:szCs w:val="28"/>
        </w:rPr>
        <w:instrText xml:space="preserve"> HYPERLINK  \l "</w:instrText>
      </w:r>
      <w:r>
        <w:rPr>
          <w:rFonts w:ascii="Times New Roman" w:eastAsia="仿宋" w:hAnsi="Times New Roman"/>
          <w:sz w:val="28"/>
          <w:szCs w:val="28"/>
        </w:rPr>
        <w:instrText>目录</w:instrText>
      </w:r>
      <w:r>
        <w:rPr>
          <w:rFonts w:ascii="Times New Roman" w:eastAsia="仿宋" w:hAnsi="Times New Roman"/>
          <w:sz w:val="28"/>
          <w:szCs w:val="28"/>
        </w:rPr>
        <w:instrText xml:space="preserve">" </w:instrText>
      </w:r>
      <w:r>
        <w:rPr>
          <w:rFonts w:ascii="Times New Roman" w:eastAsia="仿宋" w:hAnsi="Times New Roman"/>
          <w:sz w:val="28"/>
          <w:szCs w:val="28"/>
        </w:rPr>
      </w:r>
      <w:r>
        <w:rPr>
          <w:rFonts w:ascii="Times New Roman" w:eastAsia="仿宋" w:hAnsi="Times New Roman"/>
          <w:sz w:val="28"/>
          <w:szCs w:val="28"/>
        </w:rPr>
        <w:fldChar w:fldCharType="separate"/>
      </w:r>
      <w:bookmarkStart w:id="53" w:name="_Toc469811368"/>
      <w:bookmarkStart w:id="54" w:name="_Toc477429878"/>
      <w:bookmarkStart w:id="55" w:name="_Toc445967722"/>
      <w:bookmarkStart w:id="56" w:name="_Toc445967587"/>
      <w:bookmarkStart w:id="57" w:name="_Toc165180896"/>
      <w:bookmarkEnd w:id="47"/>
      <w:bookmarkEnd w:id="48"/>
      <w:bookmarkEnd w:id="49"/>
      <w:bookmarkEnd w:id="50"/>
      <w:bookmarkEnd w:id="51"/>
      <w:r>
        <w:rPr>
          <w:rFonts w:ascii="Times New Roman" w:eastAsia="仿宋" w:hAnsi="Times New Roman"/>
          <w:sz w:val="28"/>
          <w:szCs w:val="28"/>
        </w:rPr>
        <w:t>价值分析结</w:t>
      </w:r>
      <w:r>
        <w:rPr>
          <w:rFonts w:ascii="Times New Roman" w:eastAsia="仿宋" w:hAnsi="Times New Roman"/>
          <w:sz w:val="28"/>
          <w:szCs w:val="28"/>
        </w:rPr>
        <w:fldChar w:fldCharType="end"/>
      </w:r>
      <w:r>
        <w:rPr>
          <w:rFonts w:ascii="Times New Roman" w:eastAsia="仿宋" w:hAnsi="Times New Roman"/>
          <w:sz w:val="28"/>
          <w:szCs w:val="28"/>
        </w:rPr>
        <w:t>论</w:t>
      </w:r>
      <w:bookmarkEnd w:id="52"/>
    </w:p>
    <w:p w14:paraId="0E5D0F47" w14:textId="77777777" w:rsidR="009C6F99" w:rsidRDefault="0045026B">
      <w:pPr>
        <w:tabs>
          <w:tab w:val="left" w:pos="0"/>
        </w:tabs>
        <w:ind w:firstLineChars="200" w:firstLine="480"/>
        <w:rPr>
          <w:rFonts w:eastAsia="仿宋"/>
          <w:b/>
        </w:rPr>
      </w:pPr>
      <w:r>
        <w:rPr>
          <w:rFonts w:eastAsia="仿宋"/>
          <w:szCs w:val="22"/>
        </w:rPr>
        <w:t>本着独立、客观、公正的原则及必要的价值分析程序，对</w:t>
      </w:r>
      <w:r>
        <w:rPr>
          <w:rFonts w:eastAsia="仿宋" w:hint="eastAsia"/>
          <w:szCs w:val="22"/>
        </w:rPr>
        <w:t>2025</w:t>
      </w:r>
      <w:r>
        <w:rPr>
          <w:rFonts w:eastAsia="仿宋" w:hint="eastAsia"/>
          <w:szCs w:val="22"/>
        </w:rPr>
        <w:t>年住房类</w:t>
      </w:r>
      <w:r>
        <w:rPr>
          <w:rFonts w:eastAsia="仿宋"/>
          <w:szCs w:val="22"/>
        </w:rPr>
        <w:t>个贷不良资产证券化项目涉及的</w:t>
      </w:r>
      <w:r>
        <w:rPr>
          <w:rFonts w:eastAsia="仿宋" w:hint="eastAsia"/>
          <w:szCs w:val="22"/>
        </w:rPr>
        <w:t>李永超户</w:t>
      </w:r>
      <w:r>
        <w:rPr>
          <w:rFonts w:eastAsia="仿宋"/>
          <w:szCs w:val="22"/>
        </w:rPr>
        <w:t>债权</w:t>
      </w:r>
      <w:r>
        <w:rPr>
          <w:rFonts w:eastAsia="仿宋"/>
          <w:szCs w:val="22"/>
        </w:rPr>
        <w:t>的清算价值进行了价值分析。根据以上价值分析工作，得出如下价值分析结论</w:t>
      </w:r>
      <w:r>
        <w:rPr>
          <w:rFonts w:eastAsia="仿宋"/>
          <w:szCs w:val="22"/>
        </w:rPr>
        <w:t>：</w:t>
      </w:r>
    </w:p>
    <w:p w14:paraId="231FC972" w14:textId="77777777" w:rsidR="009C6F99" w:rsidRDefault="0045026B">
      <w:pPr>
        <w:numPr>
          <w:ilvl w:val="0"/>
          <w:numId w:val="26"/>
        </w:numPr>
        <w:tabs>
          <w:tab w:val="left" w:pos="0"/>
        </w:tabs>
        <w:ind w:left="0" w:firstLineChars="200" w:firstLine="482"/>
        <w:rPr>
          <w:rFonts w:eastAsia="仿宋"/>
          <w:b/>
        </w:rPr>
      </w:pPr>
      <w:r>
        <w:rPr>
          <w:rFonts w:eastAsia="仿宋"/>
          <w:b/>
        </w:rPr>
        <w:t>价值分析</w:t>
      </w:r>
      <w:r>
        <w:rPr>
          <w:rFonts w:eastAsia="仿宋"/>
          <w:b/>
        </w:rPr>
        <w:t>结论</w:t>
      </w:r>
    </w:p>
    <w:p w14:paraId="157FEC2A" w14:textId="77777777" w:rsidR="009C6F99" w:rsidRDefault="0045026B">
      <w:pPr>
        <w:autoSpaceDE w:val="0"/>
        <w:autoSpaceDN w:val="0"/>
        <w:ind w:firstLineChars="200" w:firstLine="480"/>
        <w:textAlignment w:val="bottom"/>
        <w:rPr>
          <w:rFonts w:eastAsia="仿宋"/>
        </w:rPr>
      </w:pPr>
      <w:r>
        <w:rPr>
          <w:rFonts w:eastAsia="仿宋"/>
        </w:rPr>
        <w:t>中国工商银行股份有限公司苏州分行</w:t>
      </w:r>
      <w:r>
        <w:rPr>
          <w:rFonts w:eastAsia="仿宋"/>
        </w:rPr>
        <w:t>2025</w:t>
      </w:r>
      <w:r>
        <w:rPr>
          <w:rFonts w:eastAsia="仿宋"/>
        </w:rPr>
        <w:t>年住房类个贷不良资产证券化项目涉及的李永超户债权于分析基准日</w:t>
      </w:r>
      <w:r>
        <w:rPr>
          <w:rFonts w:eastAsia="仿宋"/>
        </w:rPr>
        <w:t>2025</w:t>
      </w:r>
      <w:r>
        <w:rPr>
          <w:rFonts w:eastAsia="仿宋"/>
        </w:rPr>
        <w:t>年</w:t>
      </w:r>
      <w:r>
        <w:rPr>
          <w:rFonts w:eastAsia="仿宋"/>
        </w:rPr>
        <w:t>6</w:t>
      </w:r>
      <w:r>
        <w:rPr>
          <w:rFonts w:eastAsia="仿宋"/>
        </w:rPr>
        <w:t>月</w:t>
      </w:r>
      <w:r>
        <w:rPr>
          <w:rFonts w:eastAsia="仿宋"/>
        </w:rPr>
        <w:t>30</w:t>
      </w:r>
      <w:r>
        <w:rPr>
          <w:rFonts w:eastAsia="仿宋"/>
        </w:rPr>
        <w:t>日的剩余债权金额为</w:t>
      </w:r>
      <w:r>
        <w:rPr>
          <w:rFonts w:eastAsia="仿宋"/>
        </w:rPr>
        <w:t>136.62</w:t>
      </w:r>
      <w:r>
        <w:rPr>
          <w:rFonts w:eastAsia="仿宋"/>
        </w:rPr>
        <w:t>万元，在快速变现前提下分析价值为</w:t>
      </w:r>
      <w:r>
        <w:rPr>
          <w:rFonts w:eastAsia="仿宋"/>
        </w:rPr>
        <w:t>65.</w:t>
      </w:r>
      <w:r>
        <w:rPr>
          <w:rFonts w:eastAsia="仿宋"/>
        </w:rPr>
        <w:t>85</w:t>
      </w:r>
      <w:r>
        <w:rPr>
          <w:rFonts w:eastAsia="仿宋"/>
        </w:rPr>
        <w:t>万元，预计偿债率为</w:t>
      </w:r>
      <w:r>
        <w:rPr>
          <w:rFonts w:eastAsia="仿宋"/>
        </w:rPr>
        <w:t>48.19%</w:t>
      </w:r>
      <w:r>
        <w:rPr>
          <w:rFonts w:eastAsia="仿宋"/>
        </w:rPr>
        <w:t>（取整至百位，详见价值分析估算表）。</w:t>
      </w:r>
    </w:p>
    <w:p w14:paraId="6793C140" w14:textId="77777777" w:rsidR="009C6F99" w:rsidRDefault="0045026B">
      <w:pPr>
        <w:numPr>
          <w:ilvl w:val="0"/>
          <w:numId w:val="26"/>
        </w:numPr>
        <w:tabs>
          <w:tab w:val="left" w:pos="0"/>
        </w:tabs>
        <w:ind w:left="0" w:firstLineChars="200" w:firstLine="482"/>
        <w:rPr>
          <w:rFonts w:eastAsia="仿宋"/>
          <w:b/>
        </w:rPr>
      </w:pPr>
      <w:bookmarkStart w:id="58" w:name="OLE_LINK15"/>
      <w:r>
        <w:rPr>
          <w:rFonts w:eastAsia="仿宋"/>
          <w:b/>
        </w:rPr>
        <w:t>价值分析</w:t>
      </w:r>
      <w:r>
        <w:rPr>
          <w:rFonts w:eastAsia="仿宋"/>
          <w:b/>
        </w:rPr>
        <w:t>结论</w:t>
      </w:r>
      <w:bookmarkEnd w:id="58"/>
      <w:r>
        <w:rPr>
          <w:rFonts w:eastAsia="仿宋"/>
          <w:b/>
        </w:rPr>
        <w:t>的使用有效期</w:t>
      </w:r>
    </w:p>
    <w:p w14:paraId="2A69A4B8" w14:textId="77777777" w:rsidR="009C6F99" w:rsidRDefault="0045026B">
      <w:pPr>
        <w:autoSpaceDE w:val="0"/>
        <w:autoSpaceDN w:val="0"/>
        <w:ind w:firstLineChars="200" w:firstLine="480"/>
        <w:textAlignment w:val="bottom"/>
        <w:rPr>
          <w:rFonts w:eastAsia="仿宋"/>
        </w:rPr>
      </w:pPr>
      <w:r>
        <w:rPr>
          <w:rFonts w:eastAsia="仿宋"/>
        </w:rPr>
        <w:t>本价值分析报告所揭示分析结论的使用有效期为六个月，自价值分析基准日</w:t>
      </w:r>
      <w:r>
        <w:rPr>
          <w:rFonts w:eastAsia="仿宋" w:hint="eastAsia"/>
        </w:rPr>
        <w:t>2025</w:t>
      </w:r>
      <w:r>
        <w:rPr>
          <w:rFonts w:eastAsia="仿宋" w:hint="eastAsia"/>
        </w:rPr>
        <w:t>年</w:t>
      </w:r>
      <w:r>
        <w:rPr>
          <w:rFonts w:eastAsia="仿宋" w:hint="eastAsia"/>
        </w:rPr>
        <w:t>6</w:t>
      </w:r>
      <w:r>
        <w:rPr>
          <w:rFonts w:eastAsia="仿宋" w:hint="eastAsia"/>
        </w:rPr>
        <w:t>月</w:t>
      </w:r>
      <w:r>
        <w:rPr>
          <w:rFonts w:eastAsia="仿宋" w:hint="eastAsia"/>
        </w:rPr>
        <w:t>30</w:t>
      </w:r>
      <w:r>
        <w:rPr>
          <w:rFonts w:eastAsia="仿宋" w:hint="eastAsia"/>
        </w:rPr>
        <w:t>日</w:t>
      </w:r>
      <w:r>
        <w:rPr>
          <w:rFonts w:eastAsia="仿宋"/>
        </w:rPr>
        <w:t>起至</w:t>
      </w:r>
      <w:r>
        <w:rPr>
          <w:rFonts w:eastAsia="仿宋"/>
        </w:rPr>
        <w:t>2025</w:t>
      </w:r>
      <w:r>
        <w:rPr>
          <w:rFonts w:eastAsia="仿宋"/>
        </w:rPr>
        <w:t>年</w:t>
      </w:r>
      <w:r>
        <w:rPr>
          <w:rFonts w:eastAsia="仿宋"/>
        </w:rPr>
        <w:t>12</w:t>
      </w:r>
      <w:r>
        <w:rPr>
          <w:rFonts w:eastAsia="仿宋"/>
        </w:rPr>
        <w:t>月</w:t>
      </w:r>
      <w:r>
        <w:rPr>
          <w:rFonts w:eastAsia="仿宋"/>
        </w:rPr>
        <w:t>30</w:t>
      </w:r>
      <w:r>
        <w:rPr>
          <w:rFonts w:eastAsia="仿宋"/>
        </w:rPr>
        <w:t>日</w:t>
      </w:r>
      <w:r>
        <w:rPr>
          <w:rFonts w:eastAsia="仿宋"/>
        </w:rPr>
        <w:t>止。超过有效期使用本价值分析报告所列示的价值分析</w:t>
      </w:r>
      <w:r>
        <w:rPr>
          <w:rFonts w:eastAsia="仿宋"/>
        </w:rPr>
        <w:lastRenderedPageBreak/>
        <w:t>结论无效。国家法律、行政法规另有规定的除外</w:t>
      </w:r>
      <w:r>
        <w:rPr>
          <w:rFonts w:eastAsia="仿宋"/>
        </w:rPr>
        <w:t>。</w:t>
      </w:r>
    </w:p>
    <w:bookmarkStart w:id="59" w:name="_Toc21458"/>
    <w:p w14:paraId="31E0F2F9" w14:textId="47D9967C" w:rsidR="009C6F99" w:rsidRDefault="0045026B">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特别</w:t>
      </w:r>
      <w:bookmarkStart w:id="60" w:name="_Hlt475689987"/>
      <w:r>
        <w:rPr>
          <w:rFonts w:ascii="Times New Roman" w:eastAsia="仿宋" w:hAnsi="Times New Roman"/>
          <w:sz w:val="28"/>
        </w:rPr>
        <w:t>事</w:t>
      </w:r>
      <w:bookmarkStart w:id="61" w:name="_Hlt475689676"/>
      <w:bookmarkEnd w:id="60"/>
      <w:r>
        <w:rPr>
          <w:rFonts w:ascii="Times New Roman" w:eastAsia="仿宋" w:hAnsi="Times New Roman"/>
          <w:sz w:val="28"/>
        </w:rPr>
        <w:t>项</w:t>
      </w:r>
      <w:bookmarkEnd w:id="61"/>
      <w:r>
        <w:rPr>
          <w:rFonts w:ascii="Times New Roman" w:eastAsia="仿宋" w:hAnsi="Times New Roman"/>
          <w:sz w:val="28"/>
        </w:rPr>
        <w:t>说明</w:t>
      </w:r>
      <w:bookmarkEnd w:id="53"/>
      <w:bookmarkEnd w:id="54"/>
      <w:bookmarkEnd w:id="55"/>
      <w:bookmarkEnd w:id="56"/>
      <w:bookmarkEnd w:id="57"/>
      <w:r>
        <w:rPr>
          <w:rFonts w:ascii="Times New Roman" w:eastAsia="仿宋" w:hAnsi="Times New Roman"/>
          <w:sz w:val="28"/>
        </w:rPr>
        <w:fldChar w:fldCharType="end"/>
      </w:r>
      <w:bookmarkEnd w:id="59"/>
    </w:p>
    <w:p w14:paraId="1DD602EA" w14:textId="77777777" w:rsidR="009C6F99" w:rsidRDefault="0045026B">
      <w:pPr>
        <w:tabs>
          <w:tab w:val="left" w:pos="0"/>
          <w:tab w:val="left" w:pos="840"/>
        </w:tabs>
        <w:ind w:firstLineChars="200" w:firstLine="480"/>
        <w:rPr>
          <w:rFonts w:eastAsia="仿宋"/>
        </w:rPr>
      </w:pPr>
      <w:r>
        <w:rPr>
          <w:rFonts w:eastAsia="仿宋"/>
        </w:rPr>
        <w:t>下列事项可能对价值分析结论产生影响，受条件限制，本价值分析报告未考虑下列特别事项对价值分析结论可能存在的影响，特提请报告使用者注意</w:t>
      </w:r>
      <w:r>
        <w:rPr>
          <w:rFonts w:eastAsia="仿宋"/>
        </w:rPr>
        <w:t>。</w:t>
      </w:r>
    </w:p>
    <w:p w14:paraId="363A9749" w14:textId="77777777" w:rsidR="009C6F99" w:rsidRDefault="0045026B">
      <w:pPr>
        <w:numPr>
          <w:ilvl w:val="0"/>
          <w:numId w:val="27"/>
        </w:numPr>
        <w:tabs>
          <w:tab w:val="left" w:pos="0"/>
          <w:tab w:val="left" w:pos="840"/>
        </w:tabs>
        <w:ind w:left="0" w:firstLineChars="200" w:firstLine="480"/>
        <w:rPr>
          <w:rFonts w:eastAsia="仿宋"/>
        </w:rPr>
      </w:pPr>
      <w:r>
        <w:rPr>
          <w:rFonts w:eastAsia="仿宋"/>
        </w:rPr>
        <w:t>根据委托，本次价值分析是以债权资产处置为目的的价值分析业务。价值分析基准日形成的价值分析结论是在受到一定限制条件下形成的专业意见，是一种推断和建议性意见。</w:t>
      </w:r>
    </w:p>
    <w:p w14:paraId="00CAA1EB" w14:textId="77777777" w:rsidR="009C6F99" w:rsidRDefault="0045026B">
      <w:pPr>
        <w:tabs>
          <w:tab w:val="left" w:pos="0"/>
          <w:tab w:val="left" w:pos="840"/>
        </w:tabs>
        <w:ind w:firstLineChars="200" w:firstLine="480"/>
        <w:rPr>
          <w:rFonts w:eastAsia="仿宋"/>
        </w:rPr>
      </w:pPr>
      <w:r>
        <w:rPr>
          <w:rFonts w:eastAsia="仿宋"/>
        </w:rPr>
        <w:t>我们提醒报告使用者充分关注本价值分析报告在资料可获得程度和可执行价值分析程序上所受到的限制，并合理理解所受限制条件对价值分析结论的影响。</w:t>
      </w:r>
    </w:p>
    <w:p w14:paraId="78B2520A" w14:textId="77777777" w:rsidR="009C6F99" w:rsidRDefault="0045026B">
      <w:pPr>
        <w:tabs>
          <w:tab w:val="left" w:pos="0"/>
          <w:tab w:val="left" w:pos="840"/>
        </w:tabs>
        <w:ind w:firstLineChars="200" w:firstLine="480"/>
        <w:rPr>
          <w:rFonts w:eastAsia="仿宋"/>
        </w:rPr>
      </w:pPr>
      <w:r>
        <w:rPr>
          <w:rFonts w:eastAsia="仿宋"/>
        </w:rPr>
        <w:t>本次价值分析结论受到的限制条件主要包括以下方面：本次价值分析，由于未获得债务人的详细</w:t>
      </w:r>
      <w:r>
        <w:rPr>
          <w:rFonts w:eastAsia="仿宋"/>
        </w:rPr>
        <w:t>资产、负债资料，故本报告价值分析人员</w:t>
      </w:r>
      <w:r>
        <w:rPr>
          <w:rFonts w:eastAsia="仿宋"/>
        </w:rPr>
        <w:t>仅对抵押物的快速变现价值</w:t>
      </w:r>
      <w:r>
        <w:rPr>
          <w:rFonts w:eastAsia="仿宋"/>
        </w:rPr>
        <w:t>进行估算。根据相关法律、法规和资产评估准则，价值分析结论不应当被认为是对评估对象可实现价格的保证。</w:t>
      </w:r>
    </w:p>
    <w:p w14:paraId="6C024723" w14:textId="77777777" w:rsidR="009C6F99" w:rsidRDefault="0045026B">
      <w:pPr>
        <w:numPr>
          <w:ilvl w:val="0"/>
          <w:numId w:val="27"/>
        </w:numPr>
        <w:tabs>
          <w:tab w:val="left" w:pos="0"/>
          <w:tab w:val="left" w:pos="840"/>
        </w:tabs>
        <w:ind w:left="0" w:firstLineChars="200" w:firstLine="480"/>
        <w:rPr>
          <w:rFonts w:eastAsia="仿宋"/>
        </w:rPr>
      </w:pPr>
      <w:r>
        <w:rPr>
          <w:rFonts w:eastAsia="仿宋"/>
        </w:rPr>
        <w:t>本次价值分析结论是依据价值分析人员可获得的资料进行的，本次价值分析所需资料主要由委托方提供。本次项目中，委托人未能提供法律意见书、债务相关方财务信息等相关资料，对于未能掌握（获得）的资料我们不承担责任。我们提醒报告使用者，当报告使用者获取债务人及保证人的相关资料与本报告所披露的情况发生变化时，需根据所获取的资料变化情况重新进行价值分析。</w:t>
      </w:r>
    </w:p>
    <w:p w14:paraId="2E6FF8AF" w14:textId="77777777" w:rsidR="009C6F99" w:rsidRDefault="0045026B">
      <w:pPr>
        <w:numPr>
          <w:ilvl w:val="0"/>
          <w:numId w:val="27"/>
        </w:numPr>
        <w:tabs>
          <w:tab w:val="left" w:pos="0"/>
          <w:tab w:val="left" w:pos="840"/>
        </w:tabs>
        <w:ind w:left="0" w:firstLineChars="200" w:firstLine="480"/>
        <w:rPr>
          <w:rFonts w:eastAsia="仿宋"/>
        </w:rPr>
      </w:pPr>
      <w:r>
        <w:rPr>
          <w:rFonts w:eastAsia="仿宋"/>
        </w:rPr>
        <w:t>本报告只能用</w:t>
      </w:r>
      <w:r>
        <w:rPr>
          <w:rFonts w:eastAsia="仿宋"/>
        </w:rPr>
        <w:t>于载明的目的，若因委托人和其他报告使用者使用不当造成的一切后果与评估机构和资产评估师无关。</w:t>
      </w:r>
    </w:p>
    <w:p w14:paraId="18A42BDE" w14:textId="77777777" w:rsidR="009C6F99" w:rsidRDefault="0045026B">
      <w:pPr>
        <w:numPr>
          <w:ilvl w:val="0"/>
          <w:numId w:val="27"/>
        </w:numPr>
        <w:tabs>
          <w:tab w:val="left" w:pos="0"/>
          <w:tab w:val="left" w:pos="840"/>
        </w:tabs>
        <w:ind w:left="0" w:firstLineChars="200" w:firstLine="480"/>
        <w:rPr>
          <w:rFonts w:eastAsia="仿宋"/>
        </w:rPr>
      </w:pPr>
      <w:r>
        <w:rPr>
          <w:rFonts w:eastAsia="仿宋"/>
        </w:rPr>
        <w:t>评估机构的法律责任是对本价值分析报告所述目的下的资产价值量做出专业判断，并不涉及到评估机构对该项价值分析目的所对应的经济行为做出任何判断。价值分析工作在很大程度上，依赖于委托人提供的有关资料。因此，价值分析工作是以委托人提供的有关经济行为文件，有关资产所有权文件、证件及会计凭证，有关法律文件等资料的真实合法为前提。</w:t>
      </w:r>
    </w:p>
    <w:p w14:paraId="6D339267" w14:textId="77777777" w:rsidR="009C6F99" w:rsidRDefault="0045026B">
      <w:pPr>
        <w:numPr>
          <w:ilvl w:val="0"/>
          <w:numId w:val="27"/>
        </w:numPr>
        <w:tabs>
          <w:tab w:val="left" w:pos="0"/>
          <w:tab w:val="left" w:pos="840"/>
        </w:tabs>
        <w:ind w:left="0" w:firstLineChars="200" w:firstLine="480"/>
        <w:rPr>
          <w:rFonts w:eastAsia="仿宋"/>
        </w:rPr>
      </w:pPr>
      <w:r>
        <w:rPr>
          <w:rFonts w:eastAsia="仿宋"/>
        </w:rPr>
        <w:t>本次价值分析人员没有发现其他可能影响价值分析结论，且非价值分析人员能力所能评定估算的重大瑕疵事项。但是</w:t>
      </w:r>
      <w:r>
        <w:rPr>
          <w:rFonts w:eastAsia="仿宋"/>
        </w:rPr>
        <w:t>，报告使用者应当不完全依赖本报告，而应对资产的权属状况、价值影响因素及相关内容作出自己的独立判断，并在经济行为中适当考虑。</w:t>
      </w:r>
    </w:p>
    <w:p w14:paraId="6E846071" w14:textId="77777777" w:rsidR="009C6F99" w:rsidRDefault="0045026B">
      <w:pPr>
        <w:numPr>
          <w:ilvl w:val="0"/>
          <w:numId w:val="27"/>
        </w:numPr>
        <w:tabs>
          <w:tab w:val="left" w:pos="0"/>
          <w:tab w:val="left" w:pos="840"/>
        </w:tabs>
        <w:ind w:left="0" w:firstLineChars="200" w:firstLine="480"/>
        <w:rPr>
          <w:rFonts w:eastAsia="仿宋"/>
        </w:rPr>
      </w:pPr>
      <w:r>
        <w:rPr>
          <w:rFonts w:eastAsia="仿宋"/>
        </w:rPr>
        <w:lastRenderedPageBreak/>
        <w:t>本次价值分析中，价值分析人员未发现基准日至报告日之间可能对价值分析结论产生影响的重要事项</w:t>
      </w:r>
      <w:r>
        <w:rPr>
          <w:rFonts w:eastAsia="仿宋"/>
        </w:rPr>
        <w:t>。</w:t>
      </w:r>
    </w:p>
    <w:bookmarkStart w:id="62" w:name="_Toc5964"/>
    <w:p w14:paraId="6774C5F6" w14:textId="122245B9" w:rsidR="009C6F99" w:rsidRDefault="0045026B">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HYPERLINK  \l "</w:instrText>
      </w:r>
      <w:r>
        <w:rPr>
          <w:rFonts w:ascii="Times New Roman" w:eastAsia="仿宋" w:hAnsi="Times New Roman"/>
          <w:sz w:val="28"/>
        </w:rPr>
        <w:instrText>目录</w:instrText>
      </w:r>
      <w:r>
        <w:rPr>
          <w:rFonts w:ascii="Times New Roman" w:eastAsia="仿宋" w:hAnsi="Times New Roman"/>
          <w:sz w:val="28"/>
        </w:rPr>
        <w:instrText>"</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价值分析报</w:t>
      </w:r>
      <w:bookmarkStart w:id="63" w:name="_Hlt475689693"/>
      <w:bookmarkStart w:id="64" w:name="_Hlt475689694"/>
      <w:r>
        <w:rPr>
          <w:rFonts w:ascii="Times New Roman" w:eastAsia="仿宋" w:hAnsi="Times New Roman"/>
          <w:sz w:val="28"/>
        </w:rPr>
        <w:t>告</w:t>
      </w:r>
      <w:bookmarkStart w:id="65" w:name="_Hlt475689691"/>
      <w:bookmarkEnd w:id="63"/>
      <w:bookmarkEnd w:id="64"/>
      <w:r>
        <w:rPr>
          <w:rFonts w:ascii="Times New Roman" w:eastAsia="仿宋" w:hAnsi="Times New Roman"/>
          <w:sz w:val="28"/>
        </w:rPr>
        <w:t>使</w:t>
      </w:r>
      <w:bookmarkStart w:id="66" w:name="_Hlt475689701"/>
      <w:bookmarkEnd w:id="65"/>
      <w:r>
        <w:rPr>
          <w:rFonts w:ascii="Times New Roman" w:eastAsia="仿宋" w:hAnsi="Times New Roman"/>
          <w:sz w:val="28"/>
        </w:rPr>
        <w:t>用</w:t>
      </w:r>
      <w:bookmarkStart w:id="67" w:name="_Hlt475689709"/>
      <w:bookmarkEnd w:id="66"/>
      <w:r>
        <w:rPr>
          <w:rFonts w:ascii="Times New Roman" w:eastAsia="仿宋" w:hAnsi="Times New Roman"/>
          <w:sz w:val="28"/>
        </w:rPr>
        <w:t>限</w:t>
      </w:r>
      <w:bookmarkEnd w:id="67"/>
      <w:r>
        <w:rPr>
          <w:rFonts w:ascii="Times New Roman" w:eastAsia="仿宋" w:hAnsi="Times New Roman"/>
          <w:sz w:val="28"/>
        </w:rPr>
        <w:t>制说明</w:t>
      </w:r>
      <w:r>
        <w:rPr>
          <w:rFonts w:ascii="Times New Roman" w:eastAsia="仿宋" w:hAnsi="Times New Roman"/>
          <w:sz w:val="28"/>
        </w:rPr>
        <w:fldChar w:fldCharType="end"/>
      </w:r>
      <w:bookmarkEnd w:id="62"/>
    </w:p>
    <w:p w14:paraId="05DB5266" w14:textId="77777777" w:rsidR="009C6F99" w:rsidRDefault="0045026B">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应当按照法律规定和价值分析报告载明的使用范围使用价值分析报告。本价值分析报告使用范围是指应按照本报告中列示的价值分析报告使用人、用途、分析结论的使用有效期、价值分析报告的摘抄、引用或披露各项目载明</w:t>
      </w:r>
      <w:r>
        <w:rPr>
          <w:rFonts w:eastAsia="仿宋"/>
          <w:szCs w:val="24"/>
        </w:rPr>
        <w:t>的内容使用。</w:t>
      </w:r>
    </w:p>
    <w:p w14:paraId="49F4D956" w14:textId="77777777" w:rsidR="009C6F99" w:rsidRDefault="0045026B">
      <w:pPr>
        <w:numPr>
          <w:ilvl w:val="0"/>
          <w:numId w:val="28"/>
        </w:numPr>
        <w:tabs>
          <w:tab w:val="left" w:pos="0"/>
          <w:tab w:val="left" w:pos="840"/>
        </w:tabs>
        <w:ind w:firstLineChars="200" w:firstLine="480"/>
        <w:jc w:val="left"/>
        <w:rPr>
          <w:rFonts w:eastAsia="仿宋"/>
          <w:szCs w:val="24"/>
        </w:rPr>
      </w:pPr>
      <w:r>
        <w:rPr>
          <w:rFonts w:eastAsia="仿宋"/>
          <w:szCs w:val="24"/>
        </w:rPr>
        <w:t>委托人或者其他价值分析报告使用人未按照法律、行政法规规定和价值分析报告载明的使用范围使用价值分析报告的，资产评估机构及其资产评估师不承担责任。</w:t>
      </w:r>
    </w:p>
    <w:p w14:paraId="5142A09E" w14:textId="77777777" w:rsidR="009C6F99" w:rsidRDefault="0045026B">
      <w:pPr>
        <w:numPr>
          <w:ilvl w:val="0"/>
          <w:numId w:val="28"/>
        </w:numPr>
        <w:tabs>
          <w:tab w:val="left" w:pos="0"/>
          <w:tab w:val="left" w:pos="840"/>
        </w:tabs>
        <w:ind w:firstLineChars="200" w:firstLine="480"/>
        <w:jc w:val="left"/>
        <w:rPr>
          <w:rFonts w:eastAsia="仿宋"/>
          <w:szCs w:val="24"/>
        </w:rPr>
      </w:pPr>
      <w:r>
        <w:rPr>
          <w:rFonts w:eastAsia="仿宋"/>
          <w:szCs w:val="24"/>
        </w:rPr>
        <w:t>除委托人之外，其他任何机构和个人不能成为价值分析报告的使用人。</w:t>
      </w:r>
    </w:p>
    <w:p w14:paraId="0418A837" w14:textId="77777777" w:rsidR="009C6F99" w:rsidRDefault="0045026B">
      <w:pPr>
        <w:numPr>
          <w:ilvl w:val="0"/>
          <w:numId w:val="28"/>
        </w:numPr>
        <w:tabs>
          <w:tab w:val="left" w:pos="0"/>
          <w:tab w:val="left" w:pos="840"/>
        </w:tabs>
        <w:ind w:firstLineChars="200" w:firstLine="480"/>
        <w:jc w:val="left"/>
        <w:rPr>
          <w:rFonts w:eastAsia="仿宋"/>
          <w:szCs w:val="24"/>
        </w:rPr>
      </w:pPr>
      <w:r>
        <w:rPr>
          <w:rFonts w:eastAsia="仿宋"/>
          <w:szCs w:val="24"/>
        </w:rPr>
        <w:t>价值分析报告使用人应当正确理解和使用价值分析结论，价值分析结论不等同于价值分析对象可实现价格，价值分析结论不应当被认为是对价值分析对象可实现价格的保证。</w:t>
      </w:r>
    </w:p>
    <w:p w14:paraId="40F9FF27" w14:textId="77777777" w:rsidR="009C6F99" w:rsidRDefault="0045026B">
      <w:pPr>
        <w:numPr>
          <w:ilvl w:val="0"/>
          <w:numId w:val="28"/>
        </w:numPr>
        <w:tabs>
          <w:tab w:val="left" w:pos="0"/>
          <w:tab w:val="left" w:pos="840"/>
        </w:tabs>
        <w:ind w:firstLineChars="200" w:firstLine="480"/>
        <w:jc w:val="left"/>
        <w:rPr>
          <w:rFonts w:eastAsia="仿宋"/>
          <w:szCs w:val="24"/>
        </w:rPr>
      </w:pPr>
      <w:r>
        <w:rPr>
          <w:rFonts w:eastAsia="仿宋"/>
          <w:szCs w:val="24"/>
        </w:rPr>
        <w:t>未征得出具价值分析报告的资产评估机构同意，价值分析报告的内容不得被摘抄、引用或披露于公开媒体，法律、行政法规规定以及相关当事人另有约定的</w:t>
      </w:r>
      <w:r>
        <w:rPr>
          <w:rFonts w:eastAsia="仿宋"/>
          <w:szCs w:val="24"/>
        </w:rPr>
        <w:t>除外。</w:t>
      </w:r>
    </w:p>
    <w:p w14:paraId="51BE4559" w14:textId="77777777" w:rsidR="009C6F99" w:rsidRDefault="0045026B">
      <w:pPr>
        <w:numPr>
          <w:ilvl w:val="0"/>
          <w:numId w:val="28"/>
        </w:numPr>
        <w:tabs>
          <w:tab w:val="left" w:pos="0"/>
          <w:tab w:val="left" w:pos="840"/>
        </w:tabs>
        <w:ind w:firstLineChars="200" w:firstLine="480"/>
        <w:jc w:val="left"/>
        <w:rPr>
          <w:rFonts w:eastAsia="仿宋"/>
          <w:szCs w:val="24"/>
        </w:rPr>
      </w:pPr>
      <w:r>
        <w:rPr>
          <w:rFonts w:eastAsia="仿宋"/>
          <w:szCs w:val="24"/>
        </w:rPr>
        <w:t>本价值分析报告对截</w:t>
      </w:r>
      <w:r>
        <w:rPr>
          <w:rFonts w:eastAsia="仿宋"/>
          <w:szCs w:val="24"/>
        </w:rPr>
        <w:t>至</w:t>
      </w:r>
      <w:r>
        <w:rPr>
          <w:rFonts w:eastAsia="仿宋"/>
          <w:szCs w:val="24"/>
        </w:rPr>
        <w:t>报告日涉及本价值分析项目的相关事项，已经知晓的均进行了披露；对不知晓的事项未能进行披露。请价值分析报告使用人正确理解相关披露事项。</w:t>
      </w:r>
    </w:p>
    <w:p w14:paraId="0B773A6E" w14:textId="77777777" w:rsidR="009C6F99" w:rsidRDefault="0045026B">
      <w:pPr>
        <w:numPr>
          <w:ilvl w:val="0"/>
          <w:numId w:val="28"/>
        </w:numPr>
        <w:tabs>
          <w:tab w:val="left" w:pos="0"/>
          <w:tab w:val="left" w:pos="840"/>
        </w:tabs>
        <w:ind w:firstLineChars="200" w:firstLine="480"/>
        <w:jc w:val="left"/>
        <w:rPr>
          <w:rFonts w:eastAsia="仿宋"/>
          <w:szCs w:val="24"/>
        </w:rPr>
      </w:pPr>
      <w:r>
        <w:rPr>
          <w:rFonts w:eastAsia="仿宋"/>
          <w:szCs w:val="24"/>
        </w:rPr>
        <w:t>本价值分析报告经评估机构盖章后方可正式使用。</w:t>
      </w:r>
    </w:p>
    <w:bookmarkStart w:id="68" w:name="_Toc477429881"/>
    <w:bookmarkStart w:id="69" w:name="_Toc165180899"/>
    <w:bookmarkStart w:id="70" w:name="_Toc445967725"/>
    <w:bookmarkStart w:id="71" w:name="_Toc445967590"/>
    <w:bookmarkStart w:id="72" w:name="_Toc10350"/>
    <w:p w14:paraId="7809524B" w14:textId="29789614" w:rsidR="009C6F99" w:rsidRDefault="0045026B">
      <w:pPr>
        <w:pStyle w:val="berschrift2"/>
        <w:numPr>
          <w:ilvl w:val="0"/>
          <w:numId w:val="14"/>
        </w:numPr>
        <w:tabs>
          <w:tab w:val="left" w:pos="851"/>
        </w:tabs>
        <w:spacing w:before="240" w:after="120" w:line="360" w:lineRule="auto"/>
        <w:ind w:left="0" w:firstLine="0"/>
        <w:rPr>
          <w:rFonts w:ascii="Times New Roman" w:eastAsia="仿宋" w:hAnsi="Times New Roman"/>
          <w:sz w:val="28"/>
        </w:rPr>
      </w:pPr>
      <w:r>
        <w:rPr>
          <w:rFonts w:ascii="Times New Roman" w:eastAsia="仿宋" w:hAnsi="Times New Roman"/>
          <w:sz w:val="28"/>
        </w:rPr>
        <w:fldChar w:fldCharType="begin"/>
      </w:r>
      <w:r>
        <w:rPr>
          <w:rFonts w:ascii="Times New Roman" w:eastAsia="仿宋" w:hAnsi="Times New Roman"/>
          <w:sz w:val="28"/>
        </w:rPr>
        <w:instrText xml:space="preserve"> HYPERLINK  \l "</w:instrText>
      </w:r>
      <w:r>
        <w:rPr>
          <w:rFonts w:ascii="Times New Roman" w:eastAsia="仿宋" w:hAnsi="Times New Roman"/>
          <w:sz w:val="28"/>
        </w:rPr>
        <w:instrText>目录</w:instrText>
      </w:r>
      <w:r>
        <w:rPr>
          <w:rFonts w:ascii="Times New Roman" w:eastAsia="仿宋" w:hAnsi="Times New Roman"/>
          <w:sz w:val="28"/>
        </w:rPr>
        <w:instrText xml:space="preserve">" </w:instrText>
      </w:r>
      <w:r>
        <w:rPr>
          <w:rFonts w:ascii="Times New Roman" w:eastAsia="仿宋" w:hAnsi="Times New Roman"/>
          <w:sz w:val="28"/>
        </w:rPr>
      </w:r>
      <w:r>
        <w:rPr>
          <w:rFonts w:ascii="Times New Roman" w:eastAsia="仿宋" w:hAnsi="Times New Roman"/>
          <w:sz w:val="28"/>
        </w:rPr>
        <w:fldChar w:fldCharType="separate"/>
      </w:r>
      <w:r>
        <w:rPr>
          <w:rFonts w:ascii="Times New Roman" w:eastAsia="仿宋" w:hAnsi="Times New Roman"/>
          <w:sz w:val="28"/>
        </w:rPr>
        <w:t>价值分析报</w:t>
      </w:r>
      <w:bookmarkStart w:id="73" w:name="_Hlt475689725"/>
      <w:r>
        <w:rPr>
          <w:rFonts w:ascii="Times New Roman" w:eastAsia="仿宋" w:hAnsi="Times New Roman"/>
          <w:sz w:val="28"/>
        </w:rPr>
        <w:t>告</w:t>
      </w:r>
      <w:bookmarkEnd w:id="73"/>
      <w:r>
        <w:rPr>
          <w:rFonts w:ascii="Times New Roman" w:eastAsia="仿宋" w:hAnsi="Times New Roman"/>
          <w:sz w:val="28"/>
        </w:rPr>
        <w:t>日</w:t>
      </w:r>
      <w:bookmarkEnd w:id="68"/>
      <w:bookmarkEnd w:id="69"/>
      <w:bookmarkEnd w:id="70"/>
      <w:bookmarkEnd w:id="71"/>
      <w:r>
        <w:rPr>
          <w:rFonts w:ascii="Times New Roman" w:eastAsia="仿宋" w:hAnsi="Times New Roman"/>
          <w:sz w:val="28"/>
        </w:rPr>
        <w:fldChar w:fldCharType="end"/>
      </w:r>
      <w:bookmarkEnd w:id="72"/>
    </w:p>
    <w:p w14:paraId="18A6FA44" w14:textId="77777777" w:rsidR="009C6F99" w:rsidRDefault="0045026B">
      <w:pPr>
        <w:tabs>
          <w:tab w:val="left" w:pos="8080"/>
        </w:tabs>
        <w:autoSpaceDE w:val="0"/>
        <w:autoSpaceDN w:val="0"/>
        <w:ind w:firstLineChars="200" w:firstLine="480"/>
        <w:textAlignment w:val="bottom"/>
        <w:rPr>
          <w:rFonts w:eastAsia="仿宋"/>
        </w:rPr>
      </w:pPr>
      <w:r>
        <w:rPr>
          <w:rFonts w:eastAsia="仿宋"/>
        </w:rPr>
        <w:t>本价值分析报告日为</w:t>
      </w:r>
      <w:r>
        <w:rPr>
          <w:rFonts w:eastAsia="仿宋"/>
        </w:rPr>
        <w:t>2025</w:t>
      </w:r>
      <w:r>
        <w:rPr>
          <w:rFonts w:eastAsia="仿宋"/>
        </w:rPr>
        <w:t>年</w:t>
      </w:r>
      <w:r>
        <w:rPr>
          <w:rFonts w:eastAsia="仿宋"/>
        </w:rPr>
        <w:t>10</w:t>
      </w:r>
      <w:r>
        <w:rPr>
          <w:rFonts w:eastAsia="仿宋"/>
        </w:rPr>
        <w:t>月</w:t>
      </w:r>
      <w:r>
        <w:rPr>
          <w:rFonts w:eastAsia="仿宋"/>
        </w:rPr>
        <w:t>16</w:t>
      </w:r>
      <w:r>
        <w:rPr>
          <w:rFonts w:eastAsia="仿宋"/>
        </w:rPr>
        <w:t>日。</w:t>
      </w:r>
    </w:p>
    <w:p w14:paraId="58DBAF49" w14:textId="77777777" w:rsidR="009C6F99" w:rsidRDefault="0045026B">
      <w:pPr>
        <w:tabs>
          <w:tab w:val="left" w:pos="8080"/>
        </w:tabs>
        <w:autoSpaceDE w:val="0"/>
        <w:autoSpaceDN w:val="0"/>
        <w:ind w:firstLineChars="200" w:firstLine="480"/>
        <w:textAlignment w:val="bottom"/>
      </w:pPr>
      <w:r>
        <w:rPr>
          <w:rFonts w:eastAsia="仿宋"/>
        </w:rPr>
        <w:t>价值分析</w:t>
      </w:r>
      <w:r>
        <w:rPr>
          <w:rFonts w:eastAsia="仿宋"/>
        </w:rPr>
        <w:t>报告日为分析结论形成日。</w:t>
      </w:r>
    </w:p>
    <w:p w14:paraId="7EE06047" w14:textId="77777777" w:rsidR="009C6F99" w:rsidRDefault="0045026B">
      <w:pPr>
        <w:pStyle w:val="berschrift2"/>
        <w:numPr>
          <w:ilvl w:val="0"/>
          <w:numId w:val="14"/>
        </w:numPr>
        <w:tabs>
          <w:tab w:val="left" w:pos="851"/>
        </w:tabs>
        <w:spacing w:before="240" w:after="120" w:line="360" w:lineRule="auto"/>
        <w:ind w:left="0" w:firstLine="0"/>
        <w:rPr>
          <w:rFonts w:ascii="Times New Roman" w:eastAsia="仿宋" w:hAnsi="Times New Roman"/>
          <w:sz w:val="28"/>
        </w:rPr>
      </w:pPr>
      <w:bookmarkStart w:id="74" w:name="_签名盖章"/>
      <w:bookmarkStart w:id="75" w:name="_Toc28227"/>
      <w:bookmarkEnd w:id="74"/>
      <w:r>
        <w:rPr>
          <w:rFonts w:ascii="Times New Roman" w:eastAsia="仿宋" w:hAnsi="Times New Roman"/>
          <w:sz w:val="28"/>
        </w:rPr>
        <w:t>资产评估机构印章</w:t>
      </w:r>
      <w:bookmarkEnd w:id="75"/>
    </w:p>
    <w:p w14:paraId="00DA7F0E" w14:textId="77777777" w:rsidR="009C6F99" w:rsidRDefault="009C6F99">
      <w:pPr>
        <w:ind w:firstLineChars="200" w:firstLine="480"/>
        <w:rPr>
          <w:rFonts w:eastAsia="仿宋"/>
        </w:rPr>
      </w:pPr>
    </w:p>
    <w:p w14:paraId="5948E7EB" w14:textId="77777777" w:rsidR="009C6F99" w:rsidRDefault="0045026B">
      <w:pPr>
        <w:ind w:firstLineChars="200" w:firstLine="480"/>
        <w:rPr>
          <w:rFonts w:eastAsia="仿宋"/>
          <w:sz w:val="30"/>
          <w:szCs w:val="30"/>
        </w:rPr>
      </w:pPr>
      <w:r>
        <w:rPr>
          <w:rFonts w:eastAsia="仿宋"/>
        </w:rPr>
        <w:t>资产评估机构：江苏天地恒安房地产土地资产评估有限公司</w:t>
      </w:r>
      <w:bookmarkStart w:id="76" w:name="_Toc239047409"/>
      <w:r>
        <w:rPr>
          <w:rFonts w:eastAsia="仿宋"/>
          <w:sz w:val="30"/>
          <w:szCs w:val="30"/>
        </w:rPr>
        <w:br w:type="page"/>
      </w:r>
    </w:p>
    <w:bookmarkStart w:id="77" w:name="_Toc19785"/>
    <w:p w14:paraId="5CF6062D" w14:textId="7EE81B9F" w:rsidR="009C6F99" w:rsidRDefault="0045026B">
      <w:pPr>
        <w:pStyle w:val="berschrift1"/>
        <w:spacing w:line="240" w:lineRule="auto"/>
        <w:ind w:firstLine="0"/>
        <w:jc w:val="center"/>
        <w:rPr>
          <w:rFonts w:ascii="Times New Roman" w:eastAsia="仿宋"/>
          <w:sz w:val="30"/>
          <w:szCs w:val="30"/>
        </w:rPr>
      </w:pPr>
      <w:r>
        <w:rPr>
          <w:rFonts w:ascii="Times New Roman" w:eastAsia="仿宋"/>
          <w:sz w:val="30"/>
          <w:szCs w:val="30"/>
        </w:rPr>
        <w:lastRenderedPageBreak/>
        <w:fldChar w:fldCharType="begin"/>
      </w:r>
      <w:r>
        <w:rPr>
          <w:rFonts w:ascii="Times New Roman" w:eastAsia="仿宋"/>
          <w:sz w:val="30"/>
          <w:szCs w:val="30"/>
        </w:rPr>
        <w:instrText xml:space="preserve"> HYPERLINK  \l "</w:instrText>
      </w:r>
      <w:r>
        <w:rPr>
          <w:rFonts w:ascii="Times New Roman" w:eastAsia="仿宋"/>
          <w:sz w:val="30"/>
          <w:szCs w:val="30"/>
        </w:rPr>
        <w:instrText>目录</w:instrText>
      </w:r>
      <w:r>
        <w:rPr>
          <w:rFonts w:ascii="Times New Roman" w:eastAsia="仿宋"/>
          <w:sz w:val="30"/>
          <w:szCs w:val="30"/>
        </w:rPr>
        <w:instrText xml:space="preserve">" </w:instrText>
      </w:r>
      <w:r>
        <w:rPr>
          <w:rFonts w:ascii="Times New Roman" w:eastAsia="仿宋"/>
          <w:sz w:val="30"/>
          <w:szCs w:val="30"/>
        </w:rPr>
      </w:r>
      <w:r>
        <w:rPr>
          <w:rFonts w:ascii="Times New Roman" w:eastAsia="仿宋"/>
          <w:sz w:val="30"/>
          <w:szCs w:val="30"/>
        </w:rPr>
        <w:fldChar w:fldCharType="separate"/>
      </w:r>
      <w:r>
        <w:rPr>
          <w:rStyle w:val="BesuchterLink"/>
          <w:rFonts w:ascii="Times New Roman" w:eastAsia="仿宋"/>
          <w:color w:val="auto"/>
          <w:sz w:val="30"/>
          <w:szCs w:val="30"/>
          <w:u w:val="none"/>
        </w:rPr>
        <w:t>价值分析</w:t>
      </w:r>
      <w:r>
        <w:rPr>
          <w:rStyle w:val="BesuchterLink"/>
          <w:rFonts w:ascii="Times New Roman" w:eastAsia="仿宋"/>
          <w:color w:val="auto"/>
          <w:sz w:val="30"/>
          <w:szCs w:val="30"/>
          <w:u w:val="none"/>
        </w:rPr>
        <w:t>报告</w:t>
      </w:r>
      <w:bookmarkStart w:id="78" w:name="_Hlt475689776"/>
      <w:r>
        <w:rPr>
          <w:rStyle w:val="BesuchterLink"/>
          <w:rFonts w:ascii="Times New Roman" w:eastAsia="仿宋"/>
          <w:color w:val="auto"/>
          <w:sz w:val="30"/>
          <w:szCs w:val="30"/>
          <w:u w:val="none"/>
        </w:rPr>
        <w:t>附</w:t>
      </w:r>
      <w:bookmarkEnd w:id="78"/>
      <w:r>
        <w:rPr>
          <w:rStyle w:val="BesuchterLink"/>
          <w:rFonts w:ascii="Times New Roman" w:eastAsia="仿宋"/>
          <w:color w:val="auto"/>
          <w:sz w:val="30"/>
          <w:szCs w:val="30"/>
          <w:u w:val="none"/>
        </w:rPr>
        <w:t>件</w:t>
      </w:r>
      <w:bookmarkEnd w:id="76"/>
      <w:r>
        <w:rPr>
          <w:rFonts w:ascii="Times New Roman" w:eastAsia="仿宋"/>
          <w:sz w:val="30"/>
          <w:szCs w:val="30"/>
        </w:rPr>
        <w:fldChar w:fldCharType="end"/>
      </w:r>
      <w:bookmarkEnd w:id="77"/>
    </w:p>
    <w:p w14:paraId="6557CF8D" w14:textId="77777777" w:rsidR="009C6F99" w:rsidRDefault="0045026B">
      <w:pPr>
        <w:numPr>
          <w:ilvl w:val="0"/>
          <w:numId w:val="29"/>
        </w:numPr>
        <w:tabs>
          <w:tab w:val="left" w:pos="945"/>
        </w:tabs>
        <w:rPr>
          <w:rFonts w:eastAsia="仿宋"/>
        </w:rPr>
      </w:pPr>
      <w:r>
        <w:rPr>
          <w:rFonts w:eastAsia="仿宋"/>
          <w:szCs w:val="22"/>
        </w:rPr>
        <w:t>价值分析估算表</w:t>
      </w:r>
    </w:p>
    <w:p w14:paraId="74C240F1" w14:textId="77777777" w:rsidR="009C6F99" w:rsidRDefault="0045026B">
      <w:pPr>
        <w:numPr>
          <w:ilvl w:val="0"/>
          <w:numId w:val="29"/>
        </w:numPr>
        <w:tabs>
          <w:tab w:val="left" w:pos="945"/>
        </w:tabs>
        <w:rPr>
          <w:rFonts w:eastAsia="仿宋"/>
        </w:rPr>
      </w:pPr>
      <w:r>
        <w:rPr>
          <w:rFonts w:eastAsia="仿宋"/>
        </w:rPr>
        <w:t>委托人营业执照复印件</w:t>
      </w:r>
    </w:p>
    <w:p w14:paraId="5B424CE5" w14:textId="77777777" w:rsidR="009C6F99" w:rsidRDefault="0045026B">
      <w:pPr>
        <w:numPr>
          <w:ilvl w:val="0"/>
          <w:numId w:val="29"/>
        </w:numPr>
        <w:tabs>
          <w:tab w:val="left" w:pos="945"/>
        </w:tabs>
        <w:rPr>
          <w:rFonts w:eastAsia="仿宋"/>
        </w:rPr>
      </w:pPr>
      <w:r>
        <w:rPr>
          <w:rFonts w:eastAsia="仿宋"/>
        </w:rPr>
        <w:t>江苏天地恒安房地产土地资产评估有限公司营业执照副本复印件</w:t>
      </w:r>
    </w:p>
    <w:p w14:paraId="198CC409" w14:textId="77777777" w:rsidR="009C6F99" w:rsidRDefault="0045026B">
      <w:pPr>
        <w:numPr>
          <w:ilvl w:val="0"/>
          <w:numId w:val="29"/>
        </w:numPr>
        <w:tabs>
          <w:tab w:val="left" w:pos="945"/>
        </w:tabs>
        <w:rPr>
          <w:rFonts w:eastAsia="仿宋"/>
          <w:szCs w:val="24"/>
        </w:rPr>
      </w:pPr>
      <w:r>
        <w:rPr>
          <w:rFonts w:eastAsia="仿宋"/>
        </w:rPr>
        <w:t>江苏天地恒安房地产土地资产评估有限公司备案公告复印件</w:t>
      </w:r>
    </w:p>
    <w:p w14:paraId="484954C0" w14:textId="77777777" w:rsidR="009C6F99" w:rsidRDefault="009C6F99">
      <w:pPr>
        <w:tabs>
          <w:tab w:val="left" w:pos="945"/>
        </w:tabs>
        <w:ind w:leftChars="180" w:left="432" w:firstLine="0"/>
        <w:rPr>
          <w:rFonts w:eastAsia="仿宋"/>
          <w:szCs w:val="24"/>
        </w:rPr>
      </w:pPr>
    </w:p>
    <w:sectPr w:rsidR="009C6F99">
      <w:footerReference w:type="default" r:id="rId14"/>
      <w:pgSz w:w="11907" w:h="16840"/>
      <w:pgMar w:top="1247" w:right="1197" w:bottom="1247" w:left="1797" w:header="567" w:footer="198"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2C6C88B" w14:textId="77777777" w:rsidR="009C6F99" w:rsidRDefault="0045026B">
      <w:pPr>
        <w:spacing w:line="240" w:lineRule="auto"/>
      </w:pPr>
      <w:r>
        <w:separator/>
      </w:r>
    </w:p>
  </w:endnote>
  <w:endnote w:type="continuationSeparator" w:id="0">
    <w:p w14:paraId="3D0A7CBE" w14:textId="77777777" w:rsidR="009C6F99" w:rsidRDefault="004502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楷体_GB2312">
    <w:charset w:val="86"/>
    <w:family w:val="modern"/>
    <w:pitch w:val="default"/>
    <w:sig w:usb0="00000001" w:usb1="080E0000" w:usb2="0000000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仿宋_GB2312">
    <w:charset w:val="86"/>
    <w:family w:val="modern"/>
    <w:pitch w:val="default"/>
    <w:sig w:usb0="00000001" w:usb1="080E0000" w:usb2="00000000" w:usb3="00000000" w:csb0="00040000" w:csb1="00000000"/>
    <w:embedBold r:id="rId1" w:fontKey="{DE16D91C-9BF1-42EF-8541-0A225A219092}"/>
  </w:font>
  <w:font w:name="Courier New">
    <w:panose1 w:val="02070309020205020404"/>
    <w:charset w:val="00"/>
    <w:family w:val="modern"/>
    <w:pitch w:val="fixed"/>
    <w:sig w:usb0="E0002EFF" w:usb1="C0007843" w:usb2="00000009" w:usb3="00000000" w:csb0="000001FF" w:csb1="00000000"/>
  </w:font>
  <w:font w:name="仿宋">
    <w:panose1 w:val="02010609060101010101"/>
    <w:charset w:val="86"/>
    <w:family w:val="modern"/>
    <w:pitch w:val="fixed"/>
    <w:sig w:usb0="800002BF" w:usb1="38CF7CFA" w:usb2="00000016" w:usb3="00000000" w:csb0="00040001" w:csb1="00000000"/>
    <w:embedRegular r:id="rId2" w:subsetted="1" w:fontKey="{00B5EA11-BAA4-402C-BDA6-34EB9C033E78}"/>
    <w:embedBold r:id="rId3" w:subsetted="1" w:fontKey="{45E2BDAA-B52C-4CB7-B91C-0362611C6438}"/>
  </w:font>
  <w:font w:name="Arial Narrow">
    <w:panose1 w:val="020B06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隶书">
    <w:charset w:val="86"/>
    <w:family w:val="modern"/>
    <w:pitch w:val="default"/>
    <w:sig w:usb0="00000001" w:usb1="080E0000" w:usb2="00000000" w:usb3="00000000" w:csb0="00040000" w:csb1="00000000"/>
    <w:embedRegular r:id="rId4" w:subsetted="1" w:fontKey="{DD683249-0678-4A35-9F20-0B20FE19B731}"/>
    <w:embedItalic r:id="rId5" w:subsetted="1" w:fontKey="{477F2A3B-B14C-40F0-BE2A-B279BC30D825}"/>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A2360C" w14:textId="77777777" w:rsidR="009C6F99" w:rsidRDefault="009C6F9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0338AF" w14:textId="77777777" w:rsidR="009C6F99" w:rsidRDefault="0045026B">
    <w:pPr>
      <w:pStyle w:val="1"/>
      <w:rPr>
        <w:rFonts w:ascii="仿宋_GB2312" w:eastAsia="仿宋_GB2312"/>
      </w:rPr>
    </w:pP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24A26C2A" w14:textId="77777777" w:rsidR="009C6F99" w:rsidRDefault="009C6F99">
    <w:pPr>
      <w:ind w:left="527" w:firstLine="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AE0FED" w14:textId="77777777" w:rsidR="009C6F99" w:rsidRDefault="009C6F99"/>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D72724" w14:textId="77777777" w:rsidR="009C6F99" w:rsidRDefault="0045026B">
    <w:pPr>
      <w:pStyle w:val="1"/>
      <w:rPr>
        <w:rFonts w:ascii="仿宋_GB2312" w:eastAsia="仿宋_GB2312"/>
      </w:rPr>
    </w:pPr>
    <w:r>
      <w:rPr>
        <w:noProof/>
      </w:rPr>
      <mc:AlternateContent>
        <mc:Choice Requires="wps">
          <w:drawing>
            <wp:anchor distT="0" distB="0" distL="114300" distR="114300" simplePos="0" relativeHeight="251660288" behindDoc="0" locked="0" layoutInCell="1" allowOverlap="1" wp14:anchorId="1CF46F1E" wp14:editId="68579A80">
              <wp:simplePos x="0" y="0"/>
              <wp:positionH relativeFrom="margin">
                <wp:posOffset>2526030</wp:posOffset>
              </wp:positionH>
              <wp:positionV relativeFrom="paragraph">
                <wp:posOffset>200025</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E8A7F8A" w14:textId="77777777" w:rsidR="009C6F99" w:rsidRDefault="0045026B">
                          <w:pPr>
                            <w:pStyle w:val="Fuzeile"/>
                          </w:pPr>
                          <w:r>
                            <w:rPr>
                              <w:rFonts w:hint="eastAsia"/>
                            </w:rPr>
                            <w:fldChar w:fldCharType="begin"/>
                          </w:r>
                          <w:r>
                            <w:rPr>
                              <w:rFonts w:hint="eastAsia"/>
                            </w:rPr>
                            <w:instrText xml:space="preserve"> PAGE  \* MERGEFORMAT </w:instrText>
                          </w:r>
                          <w:r>
                            <w:rPr>
                              <w:rFonts w:hint="eastAsia"/>
                            </w:rPr>
                            <w:fldChar w:fldCharType="separate"/>
                          </w:r>
                          <w:r>
                            <w:rPr>
                              <w:rFonts w:hint="eastAsia"/>
                            </w:rPr>
                            <w:t>1</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xmlns:wpsCustomData="http://www.wps.cn/officeDocument/2013/wpsCustomData">
          <w:pict>
            <v:shape id="_x0000_s1026" o:spid="_x0000_s1026" o:spt="202" type="#_x0000_t202" style="position:absolute;left:0pt;margin-left:198.9pt;margin-top:15.75pt;height:144pt;width:144pt;mso-position-horizontal-relative:margin;mso-wrap-style:none;z-index:251660288;mso-width-relative:page;mso-height-relative:page;" filled="f" stroked="f" coordsize="21600,21600" o:gfxdata="UEsDBAoAAAAAAIdO4kAAAAAAAAAAAAAAAAAEAAAAZHJzL1BLAwQUAAAACACHTuJAVgll7dcAAAAK&#10;AQAADwAAAGRycy9kb3ducmV2LnhtbE2PQU/DMAyF70j8h8hI3FhaRsdWmk5iohyRWDlwzBrTFhqn&#10;SrKu/Hu8E7vZ7z09fy62sx3EhD70jhSkiwQEUuNMT62Cj7q6W4MIUZPRgyNU8IsBtuX1VaFz4070&#10;jtM+toJLKORaQRfjmEsZmg6tDgs3IrH35bzVkVffSuP1icvtIO+TZCWt7okvdHrEXYfNz/5oFeyq&#10;uvYTBj984mu1/H57fsCXWanbmzR5AhFxjv9hOOMzOpTMdHBHMkEMCpabR0aPPKQZCA6s1hkLh7Ow&#10;yUCWhbx8ofwDUEsDBBQAAAAIAIdO4kBrhfn7MQIAAGEEAAAOAAAAZHJzL2Uyb0RvYy54bWytVM2O&#10;0zAQviPxDpbvNGkRqypquipbFSFV7EoFcXYdp4nkP9luk/IA8AacuHDnufocfM5PFy0c9sDFGXvG&#10;38z3zTiL21ZJchLO10bndDpJKRGam6LWh5x++rh5NafEB6YLJo0WOT0LT2+XL18sGpuJmamMLIQj&#10;ANE+a2xOqxBsliSeV0IxPzFWaDhL4xQL2LpDUjjWAF3JZJamN0ljXGGd4cJ7nK57Jx0Q3XMATVnW&#10;XKwNPyqhQ4/qhGQBlHxVW0+XXbVlKXi4L0svApE5BdPQrUgCex/XZLlg2cExW9V8KIE9p4QnnBSr&#10;NZJeodYsMHJ09V9QqubOeFOGCTcq6Yl0ioDFNH2iza5iVnRcILW3V9H9/4PlH04PjtQFJoESzRQa&#10;fvn+7fLj1+XnVzKN8jTWZ4jaWcSF9q1pY+hw7nEYWbelU/ELPgR+iHu+iivaQHi8NJ/N5ylcHL5x&#10;A5zk8bp1PrwTRpFo5NShe52o7LT1oQ8dQ2I2bTa1lDhnmdSkyenN6zdpd+HqAbjUyBFJ9MVGK7T7&#10;dmCwN8UZxJzpJ8NbvqmRfMt8eGAOo4CC8VjCPZZSGiQxg0VJZdyXf53HeHQIXkoajFZONV4SJfK9&#10;RucAGEbDjcZ+NPRR3RnMKrqBWjoTF1yQo1k6oz7jBa1iDriY5siU0zCad6Efb7xALlarLuhoXX2o&#10;+guYO8vCVu8sj2miet6ujgFidhpHgXpVBt0weV2XhlcSR/vPfRf1+GdY/gZ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BWCWXt1wAAAAoBAAAPAAAAAAAAAAEAIAAAACIAAABkcnMvZG93bnJldi54bWxQ&#10;SwECFAAUAAAACACHTuJAa4X5+zECAABhBAAADgAAAAAAAAABACAAAAAmAQAAZHJzL2Uyb0RvYy54&#10;bWxQSwUGAAAAAAYABgBZAQAAyQUAAAAA&#10;">
              <v:fill on="f" focussize="0,0"/>
              <v:stroke on="f" weight="0.5pt"/>
              <v:imagedata o:title=""/>
              <o:lock v:ext="edit" aspectratio="f"/>
              <v:textbox inset="0mm,0mm,0mm,0mm" style="mso-fit-shape-to-text:t;">
                <w:txbxContent>
                  <w:p>
                    <w:pPr>
                      <w:pStyle w:val="44"/>
                      <w:rPr>
                        <w:rFonts w:hint="eastAsia" w:eastAsia="楷体_GB2312"/>
                        <w:lang w:eastAsia="zh-CN"/>
                      </w:rPr>
                    </w:pPr>
                    <w:r>
                      <w:rPr>
                        <w:rFonts w:hint="eastAsia"/>
                        <w:lang w:eastAsia="zh-CN"/>
                      </w:rPr>
                      <w:fldChar w:fldCharType="begin"/>
                    </w:r>
                    <w:r>
                      <w:rPr>
                        <w:rFonts w:hint="eastAsia"/>
                        <w:lang w:eastAsia="zh-CN"/>
                      </w:rPr>
                      <w:instrText xml:space="preserve"> PAGE  \* MERGEFORMAT </w:instrText>
                    </w:r>
                    <w:r>
                      <w:rPr>
                        <w:rFonts w:hint="eastAsia"/>
                        <w:lang w:eastAsia="zh-CN"/>
                      </w:rPr>
                      <w:fldChar w:fldCharType="separate"/>
                    </w:r>
                    <w:r>
                      <w:rPr>
                        <w:rFonts w:hint="eastAsia"/>
                        <w:lang w:eastAsia="zh-CN"/>
                      </w:rPr>
                      <w:t>1</w:t>
                    </w:r>
                    <w:r>
                      <w:rPr>
                        <w:rFonts w:hint="eastAsia"/>
                        <w:lang w:eastAsia="zh-CN"/>
                      </w:rPr>
                      <w:fldChar w:fldCharType="end"/>
                    </w:r>
                  </w:p>
                </w:txbxContent>
              </v:textbox>
            </v:shape>
          </w:pict>
        </mc:Fallback>
      </mc:AlternateContent>
    </w:r>
    <w:r>
      <w:rPr>
        <w:rFonts w:ascii="隶书" w:eastAsia="隶书" w:hint="eastAsia"/>
        <w:szCs w:val="22"/>
      </w:rPr>
      <w:t>江苏天地恒安房地产土地资产评估有限公司</w:t>
    </w:r>
    <w:r>
      <w:rPr>
        <w:rFonts w:ascii="隶书" w:eastAsia="隶书" w:hint="eastAsia"/>
        <w:szCs w:val="22"/>
      </w:rPr>
      <w:t xml:space="preserve">      </w:t>
    </w:r>
    <w:r>
      <w:rPr>
        <w:rFonts w:ascii="隶书" w:eastAsia="隶书"/>
        <w:szCs w:val="22"/>
      </w:rPr>
      <w:t xml:space="preserve"> </w:t>
    </w:r>
    <w:r>
      <w:rPr>
        <w:rFonts w:ascii="隶书" w:eastAsia="隶书" w:hint="eastAsia"/>
        <w:szCs w:val="22"/>
      </w:rPr>
      <w:t>电话：</w:t>
    </w:r>
    <w:r>
      <w:rPr>
        <w:rFonts w:ascii="隶书" w:eastAsia="隶书" w:hint="eastAsia"/>
        <w:szCs w:val="22"/>
      </w:rPr>
      <w:t xml:space="preserve">0512-68327331       </w:t>
    </w:r>
    <w:r>
      <w:rPr>
        <w:rFonts w:ascii="隶书" w:eastAsia="隶书" w:hint="eastAsia"/>
        <w:szCs w:val="22"/>
      </w:rPr>
      <w:t>传真：</w:t>
    </w:r>
    <w:r>
      <w:rPr>
        <w:rFonts w:ascii="隶书" w:eastAsia="隶书" w:hint="eastAsia"/>
        <w:szCs w:val="22"/>
      </w:rPr>
      <w:t>0512-68327335</w:t>
    </w:r>
  </w:p>
  <w:p w14:paraId="18057456" w14:textId="77777777" w:rsidR="009C6F99" w:rsidRDefault="009C6F99">
    <w:pPr>
      <w:pStyle w:val="1"/>
      <w:jc w:val="center"/>
      <w:rPr>
        <w:rFonts w:ascii="仿宋_GB2312" w:eastAsia="仿宋_GB2312"/>
      </w:rPr>
    </w:pPr>
  </w:p>
  <w:p w14:paraId="244CBC12" w14:textId="77777777" w:rsidR="009C6F99" w:rsidRDefault="009C6F99">
    <w:pPr>
      <w:ind w:left="527"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C355D78" w14:textId="77777777" w:rsidR="009C6F99" w:rsidRDefault="0045026B">
      <w:r>
        <w:separator/>
      </w:r>
    </w:p>
  </w:footnote>
  <w:footnote w:type="continuationSeparator" w:id="0">
    <w:p w14:paraId="1832F1DA" w14:textId="77777777" w:rsidR="009C6F99" w:rsidRDefault="0045026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044BDF" w14:textId="77777777" w:rsidR="009C6F99" w:rsidRDefault="009C6F9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D932DBB" w14:textId="77777777" w:rsidR="009C6F99" w:rsidRDefault="0045026B">
    <w:pPr>
      <w:pStyle w:val="Kopfzeile"/>
      <w:pBdr>
        <w:bottom w:val="none" w:sz="0" w:space="1" w:color="auto"/>
      </w:pBdr>
      <w:ind w:firstLine="0"/>
      <w:jc w:val="right"/>
    </w:pPr>
    <w:r>
      <w:rPr>
        <w:noProof/>
      </w:rPr>
      <mc:AlternateContent>
        <mc:Choice Requires="wps">
          <w:drawing>
            <wp:anchor distT="0" distB="0" distL="114300" distR="114300" simplePos="0" relativeHeight="251662336" behindDoc="1" locked="0" layoutInCell="1" allowOverlap="1" wp14:anchorId="3E9244D8" wp14:editId="0C67EB90">
              <wp:simplePos x="0" y="0"/>
              <wp:positionH relativeFrom="column">
                <wp:posOffset>1123315</wp:posOffset>
              </wp:positionH>
              <wp:positionV relativeFrom="paragraph">
                <wp:posOffset>-36195</wp:posOffset>
              </wp:positionV>
              <wp:extent cx="4630420" cy="461010"/>
              <wp:effectExtent l="0" t="0" r="5080" b="8890"/>
              <wp:wrapTight wrapText="bothSides">
                <wp:wrapPolygon edited="0">
                  <wp:start x="0" y="0"/>
                  <wp:lineTo x="0" y="20826"/>
                  <wp:lineTo x="21564" y="20826"/>
                  <wp:lineTo x="21564" y="0"/>
                  <wp:lineTo x="0" y="0"/>
                </wp:wrapPolygon>
              </wp:wrapTight>
              <wp:docPr id="6" name="文本框 6"/>
              <wp:cNvGraphicFramePr/>
              <a:graphic xmlns:a="http://schemas.openxmlformats.org/drawingml/2006/main">
                <a:graphicData uri="http://schemas.microsoft.com/office/word/2010/wordprocessingShape">
                  <wps:wsp>
                    <wps:cNvSpPr txBox="1"/>
                    <wps:spPr>
                      <a:xfrm>
                        <a:off x="0" y="0"/>
                        <a:ext cx="4630420" cy="46101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4E304CF2" w14:textId="77777777" w:rsidR="009C6F99" w:rsidRDefault="0045026B">
                          <w:pPr>
                            <w:pStyle w:val="Kopfzeile"/>
                            <w:spacing w:line="240" w:lineRule="auto"/>
                            <w:ind w:firstLine="0"/>
                            <w:jc w:val="right"/>
                            <w:rPr>
                              <w:rFonts w:ascii="隶书" w:eastAsia="隶书" w:hAnsi="隶书" w:cs="隶书"/>
                              <w:i/>
                              <w:iCs/>
                            </w:rPr>
                          </w:pPr>
                          <w:r>
                            <w:rPr>
                              <w:rFonts w:ascii="隶书" w:eastAsia="隶书" w:hAnsi="隶书" w:cs="隶书" w:hint="eastAsia"/>
                              <w:i/>
                              <w:iCs/>
                            </w:rPr>
                            <w:t>中国工商银行股份有限公司苏州分行</w:t>
                          </w:r>
                        </w:p>
                        <w:p w14:paraId="2E04ACA4" w14:textId="77777777" w:rsidR="009C6F99" w:rsidRDefault="0045026B">
                          <w:pPr>
                            <w:pStyle w:val="Kopfzeile"/>
                            <w:spacing w:line="240" w:lineRule="auto"/>
                            <w:ind w:firstLine="0"/>
                            <w:jc w:val="right"/>
                          </w:pPr>
                          <w:r>
                            <w:rPr>
                              <w:rFonts w:ascii="Times New Roman" w:eastAsia="隶书" w:hint="eastAsia"/>
                              <w:i/>
                              <w:iCs/>
                            </w:rPr>
                            <w:t>2025</w:t>
                          </w:r>
                          <w:r>
                            <w:rPr>
                              <w:rFonts w:ascii="Times New Roman" w:eastAsia="隶书" w:hint="eastAsia"/>
                              <w:i/>
                              <w:iCs/>
                            </w:rPr>
                            <w:t>年住房类</w:t>
                          </w:r>
                          <w:r>
                            <w:rPr>
                              <w:rFonts w:ascii="隶书" w:eastAsia="隶书" w:hAnsi="隶书" w:cs="隶书" w:hint="eastAsia"/>
                              <w:i/>
                              <w:iCs/>
                            </w:rPr>
                            <w:t>个贷不良资产证券化项目涉及的李永超户</w:t>
                          </w:r>
                          <w:r>
                            <w:rPr>
                              <w:rFonts w:ascii="隶书" w:eastAsia="隶书" w:hAnsi="隶书" w:cs="隶书" w:hint="eastAsia"/>
                              <w:i/>
                              <w:iCs/>
                            </w:rPr>
                            <w:t>债权清算价值分析报告</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xmlns:wpsCustomData="http://www.wps.cn/officeDocument/2013/wpsCustomData">
          <w:pict>
            <v:shape id="_x0000_s1026" o:spid="_x0000_s1026" o:spt="202" type="#_x0000_t202" style="position:absolute;left:0pt;margin-left:88.45pt;margin-top:-2.85pt;height:36.3pt;width:364.6pt;mso-wrap-distance-left:9pt;mso-wrap-distance-right:9pt;z-index:-251654144;mso-width-relative:page;mso-height-relative:page;" fillcolor="#FFFFFF [3201]" filled="t" stroked="f" coordsize="21600,21600" wrapcoords="0 0 0 20826 21564 20826 21564 0 0 0" o:gfxdata="UEsDBAoAAAAAAIdO4kAAAAAAAAAAAAAAAAAEAAAAZHJzL1BLAwQUAAAACACHTuJAOEWiqtQAAAAJ&#10;AQAADwAAAGRycy9kb3ducmV2LnhtbE2Py07DMBBF90j8gzVI7Fo7CFIa4nSBxBaJtnTtxkMcYY8j&#10;231+PcMKllf36M6ZdnUOXhwx5TGShmquQCD10Y40aNhu3mbPIHIxZI2PhBoumGHV3d60prHxRB94&#10;XJdB8AjlxmhwpUyNlLl3GEyexwmJu6+Ygikc0yBtMiceD14+KFXLYEbiC85M+Oqw/14fgobdEK67&#10;z2pKzgb/SO/Xy2YbR63v7yr1AqLgufzB8KvP6tCx0z4eyGbhOS/qJaMaZk8LEAwsVV2B2GuouZBd&#10;K/9/0P0AUEsDBBQAAAAIAIdO4kCSgOOiTAIAAI8EAAAOAAAAZHJzL2Uyb0RvYy54bWytVMGO0zAQ&#10;vSPxD5bvNG23W6BquiqtipBW7EoFcXYdp7Fke4ztNikfAH/AiQt3vqvfwdhJu2XhsAdycMaeyRu/&#10;NzOZ3jRakb1wXoLJ6aDXp0QYDoU025x+/LB68YoSH5gpmAIjcnoQnt7Mnj+b1nYihlCBKoQjCGL8&#10;pLY5rUKwkyzzvBKa+R5YYdBZgtMs4NZts8KxGtG1yob9/jirwRXWARfe4+myddIO0T0FEMpScrEE&#10;vtPChBbVCcUCUvKVtJ7O0m3LUvBwV5ZeBKJyikxDWjEJ2pu4ZrMpm2wds5Xk3RXYU67wiJNm0mDS&#10;M9SSBUZ2Tv4FpSV34KEMPQ46a4kkRZDFoP9Im3XFrEhcUGpvz6L7/wfL3+/vHZFFTseUGKax4Mfv&#10;344/fh1/fiXjKE9t/QSj1hbjQvMGGmya07nHw8i6KZ2Ob+RD0I/iHs7iiiYQjoej8VV/NEQXR99o&#10;PEC6ESZ7+No6H94K0CQaOXVYvKQp29/60IaeQmIyD0oWK6lU2rjtZqEc2TMs9Co9HfofYcqQGqle&#10;XfcTsoH4fQutDF4mkm1JRSs0m6ZTYAPFAQVw0HaQt3wl8Za3zId75rBlkBgOVbjDpVSASaCzKKnA&#10;ffnXeYzHSqKXkhpbMKf+8445QYl6Z7DGrwejEcKGtBldv4ziuUvP5tJjdnoBSH6A42t5MmN8UCez&#10;dKA/4ezNY1Z0McMxd07DyVyEdjBwdrmYz1MQdqll4dasLY/QUWoD812AUqaSRJlabTr1sE9TUbuZ&#10;ioNwuU9RD/+R2W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C5BAAAW0NvbnRlbnRfVHlwZXNdLnhtbFBLAQIUAAoAAAAAAIdO4kAAAAAAAAAAAAAA&#10;AAAGAAAAAAAAAAAAEAAAAJsDAABfcmVscy9QSwECFAAUAAAACACHTuJAihRmPNEAAACUAQAACwAA&#10;AAAAAAABACAAAAC/AwAAX3JlbHMvLnJlbHNQSwECFAAKAAAAAACHTuJAAAAAAAAAAAAAAAAABAAA&#10;AAAAAAAAABAAAAAAAAAAZHJzL1BLAQIUABQAAAAIAIdO4kA4RaKq1AAAAAkBAAAPAAAAAAAAAAEA&#10;IAAAACIAAABkcnMvZG93bnJldi54bWxQSwECFAAUAAAACACHTuJAkoDjokwCAACPBAAADgAAAAAA&#10;AAABACAAAAAjAQAAZHJzL2Uyb0RvYy54bWxQSwUGAAAAAAYABgBZAQAA4QUAAAAA&#10;">
              <v:fill on="t" focussize="0,0"/>
              <v:stroke on="f" weight="0.5pt"/>
              <v:imagedata o:title=""/>
              <o:lock v:ext="edit" aspectratio="f"/>
              <v:textbox>
                <w:txbxContent>
                  <w:p>
                    <w:pPr>
                      <w:pStyle w:val="46"/>
                      <w:spacing w:line="240" w:lineRule="auto"/>
                      <w:ind w:firstLine="0"/>
                      <w:jc w:val="right"/>
                      <w:rPr>
                        <w:rFonts w:hint="eastAsia" w:ascii="隶书" w:hAnsi="隶书" w:eastAsia="隶书" w:cs="隶书"/>
                        <w:i/>
                        <w:iCs/>
                        <w:lang w:eastAsia="zh-CN"/>
                      </w:rPr>
                    </w:pPr>
                    <w:r>
                      <w:rPr>
                        <w:rFonts w:hint="eastAsia" w:ascii="隶书" w:hAnsi="隶书" w:eastAsia="隶书" w:cs="隶书"/>
                        <w:i/>
                        <w:iCs/>
                        <w:lang w:eastAsia="zh-CN"/>
                      </w:rPr>
                      <w:t>中国工商银行股份有限公司苏州分行</w:t>
                    </w:r>
                  </w:p>
                  <w:p>
                    <w:pPr>
                      <w:pStyle w:val="46"/>
                      <w:spacing w:line="240" w:lineRule="auto"/>
                      <w:ind w:firstLine="0"/>
                      <w:jc w:val="right"/>
                    </w:pPr>
                    <w:r>
                      <w:rPr>
                        <w:rFonts w:hint="eastAsia" w:ascii="Times New Roman" w:eastAsia="隶书" w:cs="Times New Roman"/>
                        <w:i/>
                        <w:iCs/>
                        <w:lang w:val="en-US" w:eastAsia="zh-CN"/>
                      </w:rPr>
                      <w:t>2025</w:t>
                    </w:r>
                    <w:r>
                      <w:rPr>
                        <w:rFonts w:hint="eastAsia" w:ascii="Times New Roman" w:eastAsia="隶书" w:cs="Times New Roman"/>
                        <w:i/>
                        <w:iCs/>
                        <w:lang w:val="en-US" w:eastAsia="zh-CN"/>
                      </w:rPr>
                      <w:t>年住房类</w:t>
                    </w:r>
                    <w:r>
                      <w:rPr>
                        <w:rFonts w:hint="eastAsia" w:ascii="隶书" w:hAnsi="隶书" w:eastAsia="隶书" w:cs="隶书"/>
                        <w:i/>
                        <w:iCs/>
                        <w:lang w:val="en-US" w:eastAsia="zh-CN"/>
                      </w:rPr>
                      <w:t>个贷不良资产证券化项目涉及的</w:t>
                    </w:r>
                    <w:r>
                      <w:rPr>
                        <w:rFonts w:hint="eastAsia" w:ascii="隶书" w:hAnsi="隶书" w:eastAsia="隶书" w:cs="隶书"/>
                        <w:i/>
                        <w:iCs/>
                        <w:lang w:val="en-US" w:eastAsia="zh-CN"/>
                      </w:rPr>
                      <w:t>李永超</w:t>
                    </w:r>
                    <w:r>
                      <w:rPr>
                        <w:rFonts w:hint="eastAsia" w:ascii="隶书" w:hAnsi="隶书" w:eastAsia="隶书" w:cs="隶书"/>
                        <w:i/>
                        <w:iCs/>
                        <w:lang w:val="en-US" w:eastAsia="zh-CN"/>
                      </w:rPr>
                      <w:t>户</w:t>
                    </w:r>
                    <w:r>
                      <w:rPr>
                        <w:rFonts w:hint="eastAsia" w:ascii="隶书" w:hAnsi="隶书" w:eastAsia="隶书" w:cs="隶书"/>
                        <w:i/>
                        <w:iCs/>
                        <w:lang w:eastAsia="zh-CN"/>
                      </w:rPr>
                      <w:t>债权清算价值分析报告</w:t>
                    </w:r>
                  </w:p>
                </w:txbxContent>
              </v:textbox>
              <w10:wrap type="tight"/>
            </v:shape>
          </w:pict>
        </mc:Fallback>
      </mc:AlternateContent>
    </w:r>
    <w:r>
      <w:rPr>
        <w:rFonts w:hAnsi="宋体" w:cs="宋体"/>
        <w:noProof/>
      </w:rPr>
      <w:drawing>
        <wp:anchor distT="0" distB="0" distL="114300" distR="114300" simplePos="0" relativeHeight="251661312" behindDoc="0" locked="0" layoutInCell="1" allowOverlap="1" wp14:anchorId="09C4A5AB" wp14:editId="581446FE">
          <wp:simplePos x="0" y="0"/>
          <wp:positionH relativeFrom="column">
            <wp:posOffset>6350</wp:posOffset>
          </wp:positionH>
          <wp:positionV relativeFrom="page">
            <wp:posOffset>349250</wp:posOffset>
          </wp:positionV>
          <wp:extent cx="1191895" cy="367665"/>
          <wp:effectExtent l="0" t="0" r="1905" b="635"/>
          <wp:wrapSquare wrapText="bothSides"/>
          <wp:docPr id="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5"/>
                  <pic:cNvPicPr>
                    <a:picLocks noChangeAspect="1"/>
                  </pic:cNvPicPr>
                </pic:nvPicPr>
                <pic:blipFill>
                  <a:blip r:embed="rId1"/>
                  <a:stretch>
                    <a:fillRect/>
                  </a:stretch>
                </pic:blipFill>
                <pic:spPr>
                  <a:xfrm>
                    <a:off x="0" y="0"/>
                    <a:ext cx="1191895" cy="367665"/>
                  </a:xfrm>
                  <a:prstGeom prst="rect">
                    <a:avLst/>
                  </a:prstGeom>
                  <a:noFill/>
                  <a:ln>
                    <a:noFill/>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7E4803" w14:textId="77777777" w:rsidR="009C6F99" w:rsidRDefault="009C6F9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948F0682"/>
    <w:multiLevelType w:val="singleLevel"/>
    <w:tmpl w:val="948F0682"/>
    <w:lvl w:ilvl="0">
      <w:start w:val="1"/>
      <w:numFmt w:val="decimal"/>
      <w:suff w:val="space"/>
      <w:lvlText w:val="%1."/>
      <w:lvlJc w:val="left"/>
      <w:pPr>
        <w:ind w:left="425" w:hanging="425"/>
      </w:pPr>
      <w:rPr>
        <w:rFonts w:hint="default"/>
      </w:rPr>
    </w:lvl>
  </w:abstractNum>
  <w:abstractNum w:abstractNumId="1" w15:restartNumberingAfterBreak="0">
    <w:nsid w:val="A18AB340"/>
    <w:multiLevelType w:val="singleLevel"/>
    <w:tmpl w:val="A18AB340"/>
    <w:lvl w:ilvl="0">
      <w:start w:val="1"/>
      <w:numFmt w:val="decimal"/>
      <w:suff w:val="space"/>
      <w:lvlText w:val="%1."/>
      <w:lvlJc w:val="left"/>
      <w:pPr>
        <w:ind w:left="425" w:hanging="425"/>
      </w:pPr>
      <w:rPr>
        <w:rFonts w:hint="default"/>
      </w:rPr>
    </w:lvl>
  </w:abstractNum>
  <w:abstractNum w:abstractNumId="2" w15:restartNumberingAfterBreak="0">
    <w:nsid w:val="AD2E6E0C"/>
    <w:multiLevelType w:val="singleLevel"/>
    <w:tmpl w:val="AD2E6E0C"/>
    <w:lvl w:ilvl="0">
      <w:start w:val="1"/>
      <w:numFmt w:val="chineseCounting"/>
      <w:suff w:val="nothing"/>
      <w:lvlText w:val="（%1）"/>
      <w:lvlJc w:val="left"/>
      <w:pPr>
        <w:ind w:left="0" w:firstLine="420"/>
      </w:pPr>
      <w:rPr>
        <w:rFonts w:hint="eastAsia"/>
      </w:rPr>
    </w:lvl>
  </w:abstractNum>
  <w:abstractNum w:abstractNumId="3" w15:restartNumberingAfterBreak="0">
    <w:nsid w:val="CC15D326"/>
    <w:multiLevelType w:val="singleLevel"/>
    <w:tmpl w:val="CC15D326"/>
    <w:lvl w:ilvl="0">
      <w:start w:val="1"/>
      <w:numFmt w:val="decimal"/>
      <w:suff w:val="space"/>
      <w:lvlText w:val="%1."/>
      <w:lvlJc w:val="left"/>
      <w:pPr>
        <w:ind w:left="425" w:hanging="425"/>
      </w:pPr>
      <w:rPr>
        <w:rFonts w:hint="default"/>
      </w:rPr>
    </w:lvl>
  </w:abstractNum>
  <w:abstractNum w:abstractNumId="4" w15:restartNumberingAfterBreak="0">
    <w:nsid w:val="E305A732"/>
    <w:multiLevelType w:val="multilevel"/>
    <w:tmpl w:val="E305A732"/>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5" w15:restartNumberingAfterBreak="0">
    <w:nsid w:val="E6B365E9"/>
    <w:multiLevelType w:val="multilevel"/>
    <w:tmpl w:val="E6B365E9"/>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6" w15:restartNumberingAfterBreak="0">
    <w:nsid w:val="F91370D7"/>
    <w:multiLevelType w:val="singleLevel"/>
    <w:tmpl w:val="F91370D7"/>
    <w:lvl w:ilvl="0">
      <w:start w:val="1"/>
      <w:numFmt w:val="decimal"/>
      <w:suff w:val="nothing"/>
      <w:lvlText w:val="（%1）"/>
      <w:lvlJc w:val="left"/>
      <w:pPr>
        <w:ind w:left="425" w:hanging="425"/>
      </w:pPr>
      <w:rPr>
        <w:rFonts w:hint="default"/>
      </w:rPr>
    </w:lvl>
  </w:abstractNum>
  <w:abstractNum w:abstractNumId="7" w15:restartNumberingAfterBreak="0">
    <w:nsid w:val="FDE39EF1"/>
    <w:multiLevelType w:val="singleLevel"/>
    <w:tmpl w:val="FDE39EF1"/>
    <w:lvl w:ilvl="0">
      <w:start w:val="1"/>
      <w:numFmt w:val="decimal"/>
      <w:suff w:val="space"/>
      <w:lvlText w:val="%1."/>
      <w:lvlJc w:val="left"/>
      <w:pPr>
        <w:ind w:left="425" w:hanging="425"/>
      </w:pPr>
      <w:rPr>
        <w:rFonts w:hint="default"/>
      </w:rPr>
    </w:lvl>
  </w:abstractNum>
  <w:abstractNum w:abstractNumId="8" w15:restartNumberingAfterBreak="0">
    <w:nsid w:val="FFFFFF7C"/>
    <w:multiLevelType w:val="singleLevel"/>
    <w:tmpl w:val="FFFFFF7C"/>
    <w:lvl w:ilvl="0">
      <w:start w:val="1"/>
      <w:numFmt w:val="decimal"/>
      <w:pStyle w:val="Listennummer5"/>
      <w:lvlText w:val="%1."/>
      <w:lvlJc w:val="left"/>
      <w:pPr>
        <w:tabs>
          <w:tab w:val="left" w:pos="2040"/>
        </w:tabs>
        <w:ind w:left="2040" w:hanging="360"/>
      </w:pPr>
    </w:lvl>
  </w:abstractNum>
  <w:abstractNum w:abstractNumId="9" w15:restartNumberingAfterBreak="0">
    <w:nsid w:val="FFFFFF7D"/>
    <w:multiLevelType w:val="singleLevel"/>
    <w:tmpl w:val="FFFFFF7D"/>
    <w:lvl w:ilvl="0">
      <w:start w:val="1"/>
      <w:numFmt w:val="decimal"/>
      <w:pStyle w:val="Listennummer4"/>
      <w:lvlText w:val="%1."/>
      <w:lvlJc w:val="left"/>
      <w:pPr>
        <w:tabs>
          <w:tab w:val="left" w:pos="1620"/>
        </w:tabs>
        <w:ind w:left="1620" w:hanging="360"/>
      </w:pPr>
    </w:lvl>
  </w:abstractNum>
  <w:abstractNum w:abstractNumId="10" w15:restartNumberingAfterBreak="0">
    <w:nsid w:val="FFFFFF7E"/>
    <w:multiLevelType w:val="singleLevel"/>
    <w:tmpl w:val="FFFFFF7E"/>
    <w:lvl w:ilvl="0">
      <w:start w:val="1"/>
      <w:numFmt w:val="decimal"/>
      <w:pStyle w:val="Listennummer3"/>
      <w:lvlText w:val="%1."/>
      <w:lvlJc w:val="left"/>
      <w:pPr>
        <w:tabs>
          <w:tab w:val="left" w:pos="1200"/>
        </w:tabs>
        <w:ind w:left="1200" w:hanging="360"/>
      </w:pPr>
    </w:lvl>
  </w:abstractNum>
  <w:abstractNum w:abstractNumId="11" w15:restartNumberingAfterBreak="0">
    <w:nsid w:val="FFFFFF7F"/>
    <w:multiLevelType w:val="singleLevel"/>
    <w:tmpl w:val="FFFFFF7F"/>
    <w:lvl w:ilvl="0">
      <w:start w:val="1"/>
      <w:numFmt w:val="decimal"/>
      <w:pStyle w:val="Listennummer2"/>
      <w:lvlText w:val="%1."/>
      <w:lvlJc w:val="left"/>
      <w:pPr>
        <w:tabs>
          <w:tab w:val="left" w:pos="780"/>
        </w:tabs>
        <w:ind w:left="780" w:hanging="360"/>
      </w:pPr>
    </w:lvl>
  </w:abstractNum>
  <w:abstractNum w:abstractNumId="12" w15:restartNumberingAfterBreak="0">
    <w:nsid w:val="FFFFFF80"/>
    <w:multiLevelType w:val="singleLevel"/>
    <w:tmpl w:val="FFFFFF80"/>
    <w:lvl w:ilvl="0">
      <w:start w:val="1"/>
      <w:numFmt w:val="bullet"/>
      <w:pStyle w:val="Aufzhlungszeichen5"/>
      <w:lvlText w:val=""/>
      <w:lvlJc w:val="left"/>
      <w:pPr>
        <w:tabs>
          <w:tab w:val="left" w:pos="2040"/>
        </w:tabs>
        <w:ind w:left="2040" w:hanging="360"/>
      </w:pPr>
      <w:rPr>
        <w:rFonts w:ascii="Wingdings" w:hAnsi="Wingdings" w:hint="default"/>
      </w:rPr>
    </w:lvl>
  </w:abstractNum>
  <w:abstractNum w:abstractNumId="13" w15:restartNumberingAfterBreak="0">
    <w:nsid w:val="FFFFFF81"/>
    <w:multiLevelType w:val="singleLevel"/>
    <w:tmpl w:val="FFFFFF81"/>
    <w:lvl w:ilvl="0">
      <w:start w:val="1"/>
      <w:numFmt w:val="bullet"/>
      <w:pStyle w:val="Aufzhlungszeichen4"/>
      <w:lvlText w:val=""/>
      <w:lvlJc w:val="left"/>
      <w:pPr>
        <w:tabs>
          <w:tab w:val="left" w:pos="1620"/>
        </w:tabs>
        <w:ind w:left="1620" w:hanging="360"/>
      </w:pPr>
      <w:rPr>
        <w:rFonts w:ascii="Wingdings" w:hAnsi="Wingdings" w:hint="default"/>
      </w:rPr>
    </w:lvl>
  </w:abstractNum>
  <w:abstractNum w:abstractNumId="14" w15:restartNumberingAfterBreak="0">
    <w:nsid w:val="FFFFFF82"/>
    <w:multiLevelType w:val="singleLevel"/>
    <w:tmpl w:val="FFFFFF82"/>
    <w:lvl w:ilvl="0">
      <w:start w:val="1"/>
      <w:numFmt w:val="bullet"/>
      <w:pStyle w:val="Aufzhlungszeichen3"/>
      <w:lvlText w:val=""/>
      <w:lvlJc w:val="left"/>
      <w:pPr>
        <w:tabs>
          <w:tab w:val="left" w:pos="1200"/>
        </w:tabs>
        <w:ind w:left="1200" w:hanging="360"/>
      </w:pPr>
      <w:rPr>
        <w:rFonts w:ascii="Wingdings" w:hAnsi="Wingdings" w:hint="default"/>
      </w:rPr>
    </w:lvl>
  </w:abstractNum>
  <w:abstractNum w:abstractNumId="15" w15:restartNumberingAfterBreak="0">
    <w:nsid w:val="FFFFFF83"/>
    <w:multiLevelType w:val="singleLevel"/>
    <w:tmpl w:val="FFFFFF83"/>
    <w:lvl w:ilvl="0">
      <w:start w:val="1"/>
      <w:numFmt w:val="bullet"/>
      <w:pStyle w:val="Aufzhlungszeichen2"/>
      <w:lvlText w:val=""/>
      <w:lvlJc w:val="left"/>
      <w:pPr>
        <w:tabs>
          <w:tab w:val="left" w:pos="780"/>
        </w:tabs>
        <w:ind w:left="780" w:hanging="360"/>
      </w:pPr>
      <w:rPr>
        <w:rFonts w:ascii="Wingdings" w:hAnsi="Wingdings" w:hint="default"/>
      </w:rPr>
    </w:lvl>
  </w:abstractNum>
  <w:abstractNum w:abstractNumId="16" w15:restartNumberingAfterBreak="0">
    <w:nsid w:val="FFFFFF88"/>
    <w:multiLevelType w:val="singleLevel"/>
    <w:tmpl w:val="FFFFFF88"/>
    <w:lvl w:ilvl="0">
      <w:start w:val="1"/>
      <w:numFmt w:val="decimal"/>
      <w:pStyle w:val="Listennummer"/>
      <w:lvlText w:val="%1."/>
      <w:lvlJc w:val="left"/>
      <w:pPr>
        <w:tabs>
          <w:tab w:val="left" w:pos="360"/>
        </w:tabs>
        <w:ind w:left="360" w:hanging="360"/>
      </w:pPr>
    </w:lvl>
  </w:abstractNum>
  <w:abstractNum w:abstractNumId="17" w15:restartNumberingAfterBreak="0">
    <w:nsid w:val="FFFFFF89"/>
    <w:multiLevelType w:val="singleLevel"/>
    <w:tmpl w:val="FFFFFF89"/>
    <w:lvl w:ilvl="0">
      <w:start w:val="1"/>
      <w:numFmt w:val="bullet"/>
      <w:pStyle w:val="Aufzhlungszeichen"/>
      <w:lvlText w:val=""/>
      <w:lvlJc w:val="left"/>
      <w:pPr>
        <w:tabs>
          <w:tab w:val="left" w:pos="360"/>
        </w:tabs>
        <w:ind w:left="360" w:hanging="360"/>
      </w:pPr>
      <w:rPr>
        <w:rFonts w:ascii="Wingdings" w:hAnsi="Wingdings" w:hint="default"/>
      </w:rPr>
    </w:lvl>
  </w:abstractNum>
  <w:abstractNum w:abstractNumId="18" w15:restartNumberingAfterBreak="0">
    <w:nsid w:val="08C17518"/>
    <w:multiLevelType w:val="singleLevel"/>
    <w:tmpl w:val="08C17518"/>
    <w:lvl w:ilvl="0">
      <w:start w:val="1"/>
      <w:numFmt w:val="upperLetter"/>
      <w:pStyle w:val="Beschriftung"/>
      <w:lvlText w:val="%1、"/>
      <w:lvlJc w:val="left"/>
      <w:pPr>
        <w:tabs>
          <w:tab w:val="left" w:pos="1050"/>
        </w:tabs>
        <w:ind w:left="1050" w:hanging="450"/>
      </w:pPr>
      <w:rPr>
        <w:rFonts w:hint="eastAsia"/>
      </w:rPr>
    </w:lvl>
  </w:abstractNum>
  <w:abstractNum w:abstractNumId="19" w15:restartNumberingAfterBreak="0">
    <w:nsid w:val="1231D063"/>
    <w:multiLevelType w:val="multilevel"/>
    <w:tmpl w:val="1231D063"/>
    <w:lvl w:ilvl="0">
      <w:start w:val="1"/>
      <w:numFmt w:val="chineseCountingThousand"/>
      <w:suff w:val="nothing"/>
      <w:lvlText w:val="%1、"/>
      <w:lvlJc w:val="left"/>
      <w:pPr>
        <w:ind w:left="840" w:hanging="420"/>
      </w:pPr>
      <w:rPr>
        <w:rFonts w:hint="eastAsia"/>
      </w:rPr>
    </w:lvl>
    <w:lvl w:ilvl="1">
      <w:start w:val="1"/>
      <w:numFmt w:val="decimal"/>
      <w:lvlText w:val="%2."/>
      <w:lvlJc w:val="left"/>
      <w:pPr>
        <w:tabs>
          <w:tab w:val="left" w:pos="1260"/>
        </w:tabs>
        <w:ind w:left="1260" w:hanging="420"/>
      </w:pPr>
      <w:rPr>
        <w:rFonts w:hint="eastAsia"/>
      </w:rPr>
    </w:lvl>
    <w:lvl w:ilvl="2">
      <w:start w:val="1"/>
      <w:numFmt w:val="lowerRoman"/>
      <w:lvlText w:val="%3."/>
      <w:lvlJc w:val="right"/>
      <w:pPr>
        <w:tabs>
          <w:tab w:val="left" w:pos="1680"/>
        </w:tabs>
        <w:ind w:left="1680" w:hanging="420"/>
      </w:pPr>
      <w:rPr>
        <w:rFonts w:hint="eastAsia"/>
      </w:rPr>
    </w:lvl>
    <w:lvl w:ilvl="3">
      <w:start w:val="1"/>
      <w:numFmt w:val="decimal"/>
      <w:lvlText w:val="%4."/>
      <w:lvlJc w:val="left"/>
      <w:pPr>
        <w:tabs>
          <w:tab w:val="left" w:pos="2100"/>
        </w:tabs>
        <w:ind w:left="2100" w:hanging="420"/>
      </w:pPr>
      <w:rPr>
        <w:rFonts w:hint="eastAsia"/>
      </w:rPr>
    </w:lvl>
    <w:lvl w:ilvl="4">
      <w:start w:val="1"/>
      <w:numFmt w:val="lowerLetter"/>
      <w:lvlText w:val="%5)"/>
      <w:lvlJc w:val="left"/>
      <w:pPr>
        <w:tabs>
          <w:tab w:val="left" w:pos="2520"/>
        </w:tabs>
        <w:ind w:left="2520" w:hanging="420"/>
      </w:pPr>
      <w:rPr>
        <w:rFonts w:hint="eastAsia"/>
      </w:rPr>
    </w:lvl>
    <w:lvl w:ilvl="5">
      <w:start w:val="1"/>
      <w:numFmt w:val="lowerRoman"/>
      <w:lvlText w:val="%6."/>
      <w:lvlJc w:val="right"/>
      <w:pPr>
        <w:tabs>
          <w:tab w:val="left" w:pos="2940"/>
        </w:tabs>
        <w:ind w:left="2940" w:hanging="420"/>
      </w:pPr>
      <w:rPr>
        <w:rFonts w:hint="eastAsia"/>
      </w:rPr>
    </w:lvl>
    <w:lvl w:ilvl="6">
      <w:start w:val="1"/>
      <w:numFmt w:val="decimal"/>
      <w:lvlText w:val="%7."/>
      <w:lvlJc w:val="left"/>
      <w:pPr>
        <w:tabs>
          <w:tab w:val="left" w:pos="3360"/>
        </w:tabs>
        <w:ind w:left="3360" w:hanging="420"/>
      </w:pPr>
      <w:rPr>
        <w:rFonts w:hint="eastAsia"/>
      </w:rPr>
    </w:lvl>
    <w:lvl w:ilvl="7">
      <w:start w:val="1"/>
      <w:numFmt w:val="lowerLetter"/>
      <w:lvlText w:val="%8)"/>
      <w:lvlJc w:val="left"/>
      <w:pPr>
        <w:tabs>
          <w:tab w:val="left" w:pos="3780"/>
        </w:tabs>
        <w:ind w:left="3780" w:hanging="420"/>
      </w:pPr>
      <w:rPr>
        <w:rFonts w:hint="eastAsia"/>
      </w:rPr>
    </w:lvl>
    <w:lvl w:ilvl="8">
      <w:start w:val="1"/>
      <w:numFmt w:val="lowerRoman"/>
      <w:lvlText w:val="%9."/>
      <w:lvlJc w:val="right"/>
      <w:pPr>
        <w:tabs>
          <w:tab w:val="left" w:pos="4200"/>
        </w:tabs>
        <w:ind w:left="4200" w:hanging="420"/>
      </w:pPr>
      <w:rPr>
        <w:rFonts w:hint="eastAsia"/>
      </w:rPr>
    </w:lvl>
  </w:abstractNum>
  <w:abstractNum w:abstractNumId="20" w15:restartNumberingAfterBreak="0">
    <w:nsid w:val="18F0032A"/>
    <w:multiLevelType w:val="singleLevel"/>
    <w:tmpl w:val="18F0032A"/>
    <w:lvl w:ilvl="0">
      <w:start w:val="1"/>
      <w:numFmt w:val="decimal"/>
      <w:suff w:val="space"/>
      <w:lvlText w:val="%1."/>
      <w:lvlJc w:val="left"/>
      <w:pPr>
        <w:ind w:left="425" w:hanging="425"/>
      </w:pPr>
      <w:rPr>
        <w:rFonts w:hint="default"/>
      </w:rPr>
    </w:lvl>
  </w:abstractNum>
  <w:abstractNum w:abstractNumId="21" w15:restartNumberingAfterBreak="0">
    <w:nsid w:val="1ECA54A0"/>
    <w:multiLevelType w:val="singleLevel"/>
    <w:tmpl w:val="1ECA54A0"/>
    <w:lvl w:ilvl="0">
      <w:start w:val="1"/>
      <w:numFmt w:val="decimal"/>
      <w:suff w:val="space"/>
      <w:lvlText w:val="%1."/>
      <w:lvlJc w:val="left"/>
    </w:lvl>
  </w:abstractNum>
  <w:abstractNum w:abstractNumId="22" w15:restartNumberingAfterBreak="0">
    <w:nsid w:val="38B33602"/>
    <w:multiLevelType w:val="singleLevel"/>
    <w:tmpl w:val="38B33602"/>
    <w:lvl w:ilvl="0">
      <w:start w:val="1"/>
      <w:numFmt w:val="chineseCounting"/>
      <w:suff w:val="nothing"/>
      <w:lvlText w:val="（%1）"/>
      <w:lvlJc w:val="left"/>
      <w:pPr>
        <w:ind w:left="0" w:firstLine="420"/>
      </w:pPr>
      <w:rPr>
        <w:rFonts w:hint="eastAsia"/>
      </w:rPr>
    </w:lvl>
  </w:abstractNum>
  <w:abstractNum w:abstractNumId="23" w15:restartNumberingAfterBreak="0">
    <w:nsid w:val="3BACEA54"/>
    <w:multiLevelType w:val="multilevel"/>
    <w:tmpl w:val="3BACEA54"/>
    <w:lvl w:ilvl="0">
      <w:start w:val="1"/>
      <w:numFmt w:val="chineseCountingThousand"/>
      <w:suff w:val="nothing"/>
      <w:lvlText w:val="%1、"/>
      <w:lvlJc w:val="left"/>
      <w:pPr>
        <w:ind w:left="420" w:hanging="420"/>
      </w:pPr>
      <w:rPr>
        <w:rFonts w:hint="eastAsia"/>
      </w:rPr>
    </w:lvl>
    <w:lvl w:ilvl="1">
      <w:start w:val="1"/>
      <w:numFmt w:val="decimal"/>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24" w15:restartNumberingAfterBreak="0">
    <w:nsid w:val="5DC93866"/>
    <w:multiLevelType w:val="singleLevel"/>
    <w:tmpl w:val="5DC93866"/>
    <w:lvl w:ilvl="0">
      <w:start w:val="1"/>
      <w:numFmt w:val="chineseCounting"/>
      <w:suff w:val="nothing"/>
      <w:lvlText w:val="（%1）"/>
      <w:lvlJc w:val="left"/>
      <w:pPr>
        <w:ind w:left="0" w:firstLine="420"/>
      </w:pPr>
      <w:rPr>
        <w:rFonts w:hint="eastAsia"/>
      </w:rPr>
    </w:lvl>
  </w:abstractNum>
  <w:abstractNum w:abstractNumId="25" w15:restartNumberingAfterBreak="0">
    <w:nsid w:val="6584816B"/>
    <w:multiLevelType w:val="multilevel"/>
    <w:tmpl w:val="6584816B"/>
    <w:lvl w:ilvl="0">
      <w:start w:val="1"/>
      <w:numFmt w:val="decimal"/>
      <w:suff w:val="space"/>
      <w:lvlText w:val="%1."/>
      <w:lvlJc w:val="left"/>
      <w:pPr>
        <w:ind w:left="900" w:hanging="420"/>
      </w:pPr>
      <w:rPr>
        <w:rFonts w:hint="default"/>
      </w:rPr>
    </w:lvl>
    <w:lvl w:ilvl="1">
      <w:start w:val="1"/>
      <w:numFmt w:val="lowerLetter"/>
      <w:lvlText w:val="%2)"/>
      <w:lvlJc w:val="left"/>
      <w:pPr>
        <w:ind w:left="1320" w:hanging="420"/>
      </w:pPr>
    </w:lvl>
    <w:lvl w:ilvl="2">
      <w:start w:val="1"/>
      <w:numFmt w:val="lowerRoman"/>
      <w:lvlText w:val="%3."/>
      <w:lvlJc w:val="right"/>
      <w:pPr>
        <w:ind w:left="1740" w:hanging="420"/>
      </w:pPr>
    </w:lvl>
    <w:lvl w:ilvl="3">
      <w:start w:val="1"/>
      <w:numFmt w:val="decimal"/>
      <w:lvlText w:val="%4."/>
      <w:lvlJc w:val="left"/>
      <w:pPr>
        <w:ind w:left="2160" w:hanging="420"/>
      </w:pPr>
    </w:lvl>
    <w:lvl w:ilvl="4">
      <w:start w:val="1"/>
      <w:numFmt w:val="lowerLetter"/>
      <w:lvlText w:val="%5)"/>
      <w:lvlJc w:val="left"/>
      <w:pPr>
        <w:ind w:left="2580" w:hanging="420"/>
      </w:pPr>
    </w:lvl>
    <w:lvl w:ilvl="5">
      <w:start w:val="1"/>
      <w:numFmt w:val="lowerRoman"/>
      <w:lvlText w:val="%6."/>
      <w:lvlJc w:val="right"/>
      <w:pPr>
        <w:ind w:left="3000" w:hanging="420"/>
      </w:pPr>
    </w:lvl>
    <w:lvl w:ilvl="6">
      <w:start w:val="1"/>
      <w:numFmt w:val="decimal"/>
      <w:lvlText w:val="%7."/>
      <w:lvlJc w:val="left"/>
      <w:pPr>
        <w:ind w:left="3420" w:hanging="420"/>
      </w:pPr>
    </w:lvl>
    <w:lvl w:ilvl="7">
      <w:start w:val="1"/>
      <w:numFmt w:val="lowerLetter"/>
      <w:lvlText w:val="%8)"/>
      <w:lvlJc w:val="left"/>
      <w:pPr>
        <w:ind w:left="3840" w:hanging="420"/>
      </w:pPr>
    </w:lvl>
    <w:lvl w:ilvl="8">
      <w:start w:val="1"/>
      <w:numFmt w:val="lowerRoman"/>
      <w:lvlText w:val="%9."/>
      <w:lvlJc w:val="right"/>
      <w:pPr>
        <w:ind w:left="4260" w:hanging="420"/>
      </w:pPr>
    </w:lvl>
  </w:abstractNum>
  <w:abstractNum w:abstractNumId="26" w15:restartNumberingAfterBreak="0">
    <w:nsid w:val="681CCBE9"/>
    <w:multiLevelType w:val="singleLevel"/>
    <w:tmpl w:val="681CCBE9"/>
    <w:lvl w:ilvl="0">
      <w:start w:val="1"/>
      <w:numFmt w:val="chineseCounting"/>
      <w:suff w:val="nothing"/>
      <w:lvlText w:val="（%1）"/>
      <w:lvlJc w:val="left"/>
      <w:pPr>
        <w:ind w:left="0" w:firstLine="420"/>
      </w:pPr>
      <w:rPr>
        <w:rFonts w:hint="eastAsia"/>
      </w:rPr>
    </w:lvl>
  </w:abstractNum>
  <w:abstractNum w:abstractNumId="27" w15:restartNumberingAfterBreak="0">
    <w:nsid w:val="6F9C39D4"/>
    <w:multiLevelType w:val="singleLevel"/>
    <w:tmpl w:val="6F9C39D4"/>
    <w:lvl w:ilvl="0">
      <w:start w:val="1"/>
      <w:numFmt w:val="decimal"/>
      <w:suff w:val="space"/>
      <w:lvlText w:val="%1."/>
      <w:lvlJc w:val="left"/>
      <w:pPr>
        <w:ind w:left="425" w:hanging="425"/>
      </w:pPr>
      <w:rPr>
        <w:rFonts w:hint="default"/>
      </w:rPr>
    </w:lvl>
  </w:abstractNum>
  <w:abstractNum w:abstractNumId="28" w15:restartNumberingAfterBreak="0">
    <w:nsid w:val="72B9C521"/>
    <w:multiLevelType w:val="singleLevel"/>
    <w:tmpl w:val="72B9C521"/>
    <w:lvl w:ilvl="0">
      <w:start w:val="1"/>
      <w:numFmt w:val="chineseCounting"/>
      <w:suff w:val="nothing"/>
      <w:lvlText w:val="%1、"/>
      <w:lvlJc w:val="left"/>
      <w:pPr>
        <w:ind w:left="0" w:firstLine="420"/>
      </w:pPr>
      <w:rPr>
        <w:rFonts w:hint="eastAsia"/>
      </w:rPr>
    </w:lvl>
  </w:abstractNum>
  <w:num w:numId="1">
    <w:abstractNumId w:val="11"/>
  </w:num>
  <w:num w:numId="2">
    <w:abstractNumId w:val="13"/>
  </w:num>
  <w:num w:numId="3">
    <w:abstractNumId w:val="16"/>
  </w:num>
  <w:num w:numId="4">
    <w:abstractNumId w:val="18"/>
  </w:num>
  <w:num w:numId="5">
    <w:abstractNumId w:val="17"/>
  </w:num>
  <w:num w:numId="6">
    <w:abstractNumId w:val="14"/>
  </w:num>
  <w:num w:numId="7">
    <w:abstractNumId w:val="10"/>
  </w:num>
  <w:num w:numId="8">
    <w:abstractNumId w:val="15"/>
  </w:num>
  <w:num w:numId="9">
    <w:abstractNumId w:val="12"/>
  </w:num>
  <w:num w:numId="10">
    <w:abstractNumId w:val="9"/>
  </w:num>
  <w:num w:numId="11">
    <w:abstractNumId w:val="8"/>
  </w:num>
  <w:num w:numId="12">
    <w:abstractNumId w:val="0"/>
  </w:num>
  <w:num w:numId="13">
    <w:abstractNumId w:val="28"/>
  </w:num>
  <w:num w:numId="14">
    <w:abstractNumId w:val="23"/>
  </w:num>
  <w:num w:numId="15">
    <w:abstractNumId w:val="22"/>
  </w:num>
  <w:num w:numId="16">
    <w:abstractNumId w:val="24"/>
  </w:num>
  <w:num w:numId="17">
    <w:abstractNumId w:val="26"/>
  </w:num>
  <w:num w:numId="18">
    <w:abstractNumId w:val="20"/>
  </w:num>
  <w:num w:numId="19">
    <w:abstractNumId w:val="6"/>
  </w:num>
  <w:num w:numId="20">
    <w:abstractNumId w:val="2"/>
  </w:num>
  <w:num w:numId="21">
    <w:abstractNumId w:val="1"/>
  </w:num>
  <w:num w:numId="22">
    <w:abstractNumId w:val="7"/>
  </w:num>
  <w:num w:numId="23">
    <w:abstractNumId w:val="4"/>
  </w:num>
  <w:num w:numId="24">
    <w:abstractNumId w:val="25"/>
  </w:num>
  <w:num w:numId="25">
    <w:abstractNumId w:val="5"/>
  </w:num>
  <w:num w:numId="26">
    <w:abstractNumId w:val="3"/>
  </w:num>
  <w:num w:numId="27">
    <w:abstractNumId w:val="27"/>
  </w:num>
  <w:num w:numId="28">
    <w:abstractNumId w:val="21"/>
  </w:num>
  <w:num w:numId="2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saveSubset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480"/>
  <w:drawingGridVerticalSpacing w:val="156"/>
  <w:noPunctuationKerning/>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NmI2ZWQyYjhmMDBlMjEzMTFkMDAzZGI4M2M0MWQzYzUifQ=="/>
  </w:docVars>
  <w:rsids>
    <w:rsidRoot w:val="00172A27"/>
    <w:rsid w:val="0000078D"/>
    <w:rsid w:val="00000BBA"/>
    <w:rsid w:val="00001E0B"/>
    <w:rsid w:val="00002F67"/>
    <w:rsid w:val="000033A7"/>
    <w:rsid w:val="00005564"/>
    <w:rsid w:val="00005A6C"/>
    <w:rsid w:val="00006C58"/>
    <w:rsid w:val="0000748C"/>
    <w:rsid w:val="0000789C"/>
    <w:rsid w:val="000078DD"/>
    <w:rsid w:val="000108F1"/>
    <w:rsid w:val="00011BA0"/>
    <w:rsid w:val="00011E6F"/>
    <w:rsid w:val="000136E9"/>
    <w:rsid w:val="00013C6D"/>
    <w:rsid w:val="00014014"/>
    <w:rsid w:val="00015BE5"/>
    <w:rsid w:val="00017462"/>
    <w:rsid w:val="00017652"/>
    <w:rsid w:val="00020C6D"/>
    <w:rsid w:val="000220C1"/>
    <w:rsid w:val="0002285A"/>
    <w:rsid w:val="00025CC4"/>
    <w:rsid w:val="000268A0"/>
    <w:rsid w:val="00026C6C"/>
    <w:rsid w:val="000324EE"/>
    <w:rsid w:val="0003518B"/>
    <w:rsid w:val="000423B4"/>
    <w:rsid w:val="00042CBB"/>
    <w:rsid w:val="000431B2"/>
    <w:rsid w:val="00044FE5"/>
    <w:rsid w:val="000479DD"/>
    <w:rsid w:val="00047EC1"/>
    <w:rsid w:val="0005015E"/>
    <w:rsid w:val="000501A4"/>
    <w:rsid w:val="00050D7B"/>
    <w:rsid w:val="00054A29"/>
    <w:rsid w:val="0005752B"/>
    <w:rsid w:val="000618FD"/>
    <w:rsid w:val="0006255F"/>
    <w:rsid w:val="000635F2"/>
    <w:rsid w:val="000672F8"/>
    <w:rsid w:val="00072C30"/>
    <w:rsid w:val="00073FB4"/>
    <w:rsid w:val="000759D5"/>
    <w:rsid w:val="00076266"/>
    <w:rsid w:val="000777BA"/>
    <w:rsid w:val="000777FE"/>
    <w:rsid w:val="00081EED"/>
    <w:rsid w:val="0008373C"/>
    <w:rsid w:val="00084C4D"/>
    <w:rsid w:val="00087B40"/>
    <w:rsid w:val="00087BE2"/>
    <w:rsid w:val="000914A7"/>
    <w:rsid w:val="000922ED"/>
    <w:rsid w:val="00092FBD"/>
    <w:rsid w:val="00094361"/>
    <w:rsid w:val="00095559"/>
    <w:rsid w:val="000955E6"/>
    <w:rsid w:val="00095F2C"/>
    <w:rsid w:val="00097D38"/>
    <w:rsid w:val="000A0F03"/>
    <w:rsid w:val="000A1113"/>
    <w:rsid w:val="000A24DF"/>
    <w:rsid w:val="000A2AE0"/>
    <w:rsid w:val="000A2DEF"/>
    <w:rsid w:val="000A59D7"/>
    <w:rsid w:val="000A7B80"/>
    <w:rsid w:val="000B0425"/>
    <w:rsid w:val="000B0533"/>
    <w:rsid w:val="000B27B3"/>
    <w:rsid w:val="000B2863"/>
    <w:rsid w:val="000B441B"/>
    <w:rsid w:val="000B48E9"/>
    <w:rsid w:val="000B4A63"/>
    <w:rsid w:val="000C0A4D"/>
    <w:rsid w:val="000C1E14"/>
    <w:rsid w:val="000C2617"/>
    <w:rsid w:val="000C57EE"/>
    <w:rsid w:val="000C69FB"/>
    <w:rsid w:val="000C70F9"/>
    <w:rsid w:val="000D1230"/>
    <w:rsid w:val="000D1ABD"/>
    <w:rsid w:val="000D4290"/>
    <w:rsid w:val="000D748E"/>
    <w:rsid w:val="000D7A00"/>
    <w:rsid w:val="000E5364"/>
    <w:rsid w:val="000F370D"/>
    <w:rsid w:val="000F3749"/>
    <w:rsid w:val="000F4774"/>
    <w:rsid w:val="000F6123"/>
    <w:rsid w:val="000F7012"/>
    <w:rsid w:val="0010117E"/>
    <w:rsid w:val="0010171F"/>
    <w:rsid w:val="00101C10"/>
    <w:rsid w:val="0010210E"/>
    <w:rsid w:val="00102AD4"/>
    <w:rsid w:val="0010452B"/>
    <w:rsid w:val="00105C59"/>
    <w:rsid w:val="00105E05"/>
    <w:rsid w:val="00111B03"/>
    <w:rsid w:val="00112814"/>
    <w:rsid w:val="001129E6"/>
    <w:rsid w:val="00112E2C"/>
    <w:rsid w:val="00115DBF"/>
    <w:rsid w:val="0011600C"/>
    <w:rsid w:val="001206D9"/>
    <w:rsid w:val="00120B76"/>
    <w:rsid w:val="00120E79"/>
    <w:rsid w:val="00120E7F"/>
    <w:rsid w:val="00121CA8"/>
    <w:rsid w:val="00122DA9"/>
    <w:rsid w:val="00126C48"/>
    <w:rsid w:val="00127613"/>
    <w:rsid w:val="00127990"/>
    <w:rsid w:val="0013450C"/>
    <w:rsid w:val="00134A38"/>
    <w:rsid w:val="00134AB7"/>
    <w:rsid w:val="00137CF8"/>
    <w:rsid w:val="001417C8"/>
    <w:rsid w:val="00142B31"/>
    <w:rsid w:val="001431EB"/>
    <w:rsid w:val="00143CDF"/>
    <w:rsid w:val="0014596F"/>
    <w:rsid w:val="001462E0"/>
    <w:rsid w:val="00151821"/>
    <w:rsid w:val="00151FCB"/>
    <w:rsid w:val="0015272A"/>
    <w:rsid w:val="0016076B"/>
    <w:rsid w:val="00163365"/>
    <w:rsid w:val="0016336B"/>
    <w:rsid w:val="001642F4"/>
    <w:rsid w:val="001678CD"/>
    <w:rsid w:val="001679B5"/>
    <w:rsid w:val="0017006B"/>
    <w:rsid w:val="0017234D"/>
    <w:rsid w:val="0017241A"/>
    <w:rsid w:val="00172861"/>
    <w:rsid w:val="00172A27"/>
    <w:rsid w:val="00174265"/>
    <w:rsid w:val="00174AE7"/>
    <w:rsid w:val="00175E26"/>
    <w:rsid w:val="00180492"/>
    <w:rsid w:val="00181833"/>
    <w:rsid w:val="001828E7"/>
    <w:rsid w:val="00184D63"/>
    <w:rsid w:val="00184E65"/>
    <w:rsid w:val="001864B6"/>
    <w:rsid w:val="00187107"/>
    <w:rsid w:val="001922AE"/>
    <w:rsid w:val="001934E9"/>
    <w:rsid w:val="00194C14"/>
    <w:rsid w:val="001955B4"/>
    <w:rsid w:val="001957C0"/>
    <w:rsid w:val="001A0A72"/>
    <w:rsid w:val="001A1477"/>
    <w:rsid w:val="001A204A"/>
    <w:rsid w:val="001A2C0F"/>
    <w:rsid w:val="001A3A09"/>
    <w:rsid w:val="001A55C5"/>
    <w:rsid w:val="001B0C73"/>
    <w:rsid w:val="001B24A1"/>
    <w:rsid w:val="001B2DF2"/>
    <w:rsid w:val="001B2FAA"/>
    <w:rsid w:val="001B45BD"/>
    <w:rsid w:val="001B4CAD"/>
    <w:rsid w:val="001B64B0"/>
    <w:rsid w:val="001B7893"/>
    <w:rsid w:val="001C05DF"/>
    <w:rsid w:val="001C0B2E"/>
    <w:rsid w:val="001C187A"/>
    <w:rsid w:val="001C1A49"/>
    <w:rsid w:val="001C5A40"/>
    <w:rsid w:val="001C691B"/>
    <w:rsid w:val="001D0748"/>
    <w:rsid w:val="001D20EB"/>
    <w:rsid w:val="001D221D"/>
    <w:rsid w:val="001D4935"/>
    <w:rsid w:val="001D5217"/>
    <w:rsid w:val="001E06D1"/>
    <w:rsid w:val="001E2C90"/>
    <w:rsid w:val="001E407F"/>
    <w:rsid w:val="001E5FEC"/>
    <w:rsid w:val="001E6522"/>
    <w:rsid w:val="001E6764"/>
    <w:rsid w:val="001E6771"/>
    <w:rsid w:val="001E7527"/>
    <w:rsid w:val="001F01B4"/>
    <w:rsid w:val="001F4394"/>
    <w:rsid w:val="001F4791"/>
    <w:rsid w:val="002012D3"/>
    <w:rsid w:val="0020137F"/>
    <w:rsid w:val="00203BB1"/>
    <w:rsid w:val="00204504"/>
    <w:rsid w:val="00204BB8"/>
    <w:rsid w:val="00204CF2"/>
    <w:rsid w:val="00205D07"/>
    <w:rsid w:val="0020680E"/>
    <w:rsid w:val="00206D62"/>
    <w:rsid w:val="002114C9"/>
    <w:rsid w:val="00211D1E"/>
    <w:rsid w:val="0021354F"/>
    <w:rsid w:val="0021729D"/>
    <w:rsid w:val="00220CA2"/>
    <w:rsid w:val="00221093"/>
    <w:rsid w:val="00221C42"/>
    <w:rsid w:val="002250FF"/>
    <w:rsid w:val="00225E85"/>
    <w:rsid w:val="00236FC4"/>
    <w:rsid w:val="002375DE"/>
    <w:rsid w:val="002413C7"/>
    <w:rsid w:val="002419B9"/>
    <w:rsid w:val="002435DA"/>
    <w:rsid w:val="00244280"/>
    <w:rsid w:val="00244289"/>
    <w:rsid w:val="002455A4"/>
    <w:rsid w:val="00245ED1"/>
    <w:rsid w:val="00250CC0"/>
    <w:rsid w:val="00250FB6"/>
    <w:rsid w:val="002522D0"/>
    <w:rsid w:val="00253108"/>
    <w:rsid w:val="00253A94"/>
    <w:rsid w:val="00255381"/>
    <w:rsid w:val="002603AB"/>
    <w:rsid w:val="002609BB"/>
    <w:rsid w:val="002640DC"/>
    <w:rsid w:val="002646DE"/>
    <w:rsid w:val="00265F2C"/>
    <w:rsid w:val="00267888"/>
    <w:rsid w:val="00267AB2"/>
    <w:rsid w:val="002700BF"/>
    <w:rsid w:val="00270D6E"/>
    <w:rsid w:val="002710EB"/>
    <w:rsid w:val="0027222B"/>
    <w:rsid w:val="00274B79"/>
    <w:rsid w:val="0028029B"/>
    <w:rsid w:val="0028055C"/>
    <w:rsid w:val="00280A4D"/>
    <w:rsid w:val="0028234F"/>
    <w:rsid w:val="0028269C"/>
    <w:rsid w:val="00283A7E"/>
    <w:rsid w:val="00284BA9"/>
    <w:rsid w:val="0029229F"/>
    <w:rsid w:val="002922C2"/>
    <w:rsid w:val="00294325"/>
    <w:rsid w:val="00294BDF"/>
    <w:rsid w:val="00295CE1"/>
    <w:rsid w:val="00297DE2"/>
    <w:rsid w:val="002A3F30"/>
    <w:rsid w:val="002A6F14"/>
    <w:rsid w:val="002A72BE"/>
    <w:rsid w:val="002B0108"/>
    <w:rsid w:val="002B107A"/>
    <w:rsid w:val="002B1807"/>
    <w:rsid w:val="002B2837"/>
    <w:rsid w:val="002B3091"/>
    <w:rsid w:val="002B36A7"/>
    <w:rsid w:val="002B36F7"/>
    <w:rsid w:val="002B5142"/>
    <w:rsid w:val="002B5C7D"/>
    <w:rsid w:val="002C2318"/>
    <w:rsid w:val="002C44BB"/>
    <w:rsid w:val="002C6A5E"/>
    <w:rsid w:val="002C6DF1"/>
    <w:rsid w:val="002C7BAD"/>
    <w:rsid w:val="002D2DA0"/>
    <w:rsid w:val="002D4938"/>
    <w:rsid w:val="002D50CA"/>
    <w:rsid w:val="002D7FDA"/>
    <w:rsid w:val="002E2A7E"/>
    <w:rsid w:val="002E39EA"/>
    <w:rsid w:val="002E636A"/>
    <w:rsid w:val="002E65A5"/>
    <w:rsid w:val="002F216E"/>
    <w:rsid w:val="002F2634"/>
    <w:rsid w:val="002F5924"/>
    <w:rsid w:val="002F68EB"/>
    <w:rsid w:val="002F729B"/>
    <w:rsid w:val="00306C5A"/>
    <w:rsid w:val="00307D06"/>
    <w:rsid w:val="003100D9"/>
    <w:rsid w:val="00310342"/>
    <w:rsid w:val="003126FF"/>
    <w:rsid w:val="00312E9A"/>
    <w:rsid w:val="0031332A"/>
    <w:rsid w:val="0031367B"/>
    <w:rsid w:val="00313EDA"/>
    <w:rsid w:val="00314108"/>
    <w:rsid w:val="00317859"/>
    <w:rsid w:val="003178F9"/>
    <w:rsid w:val="00317DB6"/>
    <w:rsid w:val="00317EF3"/>
    <w:rsid w:val="00320501"/>
    <w:rsid w:val="00324D46"/>
    <w:rsid w:val="00330C56"/>
    <w:rsid w:val="00332404"/>
    <w:rsid w:val="00335923"/>
    <w:rsid w:val="00335CA1"/>
    <w:rsid w:val="00336026"/>
    <w:rsid w:val="003366AC"/>
    <w:rsid w:val="0033762F"/>
    <w:rsid w:val="00337AF3"/>
    <w:rsid w:val="003413E5"/>
    <w:rsid w:val="00341D24"/>
    <w:rsid w:val="00341E47"/>
    <w:rsid w:val="0034282F"/>
    <w:rsid w:val="00343B04"/>
    <w:rsid w:val="00344C6A"/>
    <w:rsid w:val="00345C18"/>
    <w:rsid w:val="00351562"/>
    <w:rsid w:val="00351CE9"/>
    <w:rsid w:val="00351DC7"/>
    <w:rsid w:val="003520F6"/>
    <w:rsid w:val="00352B38"/>
    <w:rsid w:val="00352B86"/>
    <w:rsid w:val="0035308B"/>
    <w:rsid w:val="003534A7"/>
    <w:rsid w:val="00354640"/>
    <w:rsid w:val="00355291"/>
    <w:rsid w:val="003557C0"/>
    <w:rsid w:val="00355DCF"/>
    <w:rsid w:val="00355E36"/>
    <w:rsid w:val="003566E3"/>
    <w:rsid w:val="0035704C"/>
    <w:rsid w:val="00357356"/>
    <w:rsid w:val="00362ABA"/>
    <w:rsid w:val="00362FFC"/>
    <w:rsid w:val="003635B5"/>
    <w:rsid w:val="00363A92"/>
    <w:rsid w:val="00365A58"/>
    <w:rsid w:val="00366E2C"/>
    <w:rsid w:val="003675A9"/>
    <w:rsid w:val="00370974"/>
    <w:rsid w:val="00370991"/>
    <w:rsid w:val="00372FA3"/>
    <w:rsid w:val="0037402C"/>
    <w:rsid w:val="0037583A"/>
    <w:rsid w:val="0037602C"/>
    <w:rsid w:val="00376116"/>
    <w:rsid w:val="00377BC3"/>
    <w:rsid w:val="00380269"/>
    <w:rsid w:val="0038051A"/>
    <w:rsid w:val="00380F1C"/>
    <w:rsid w:val="003811E8"/>
    <w:rsid w:val="00382573"/>
    <w:rsid w:val="00382903"/>
    <w:rsid w:val="00384B33"/>
    <w:rsid w:val="003871D0"/>
    <w:rsid w:val="00387AB2"/>
    <w:rsid w:val="003901D0"/>
    <w:rsid w:val="00391773"/>
    <w:rsid w:val="003918F1"/>
    <w:rsid w:val="00391E63"/>
    <w:rsid w:val="003961E2"/>
    <w:rsid w:val="00396A29"/>
    <w:rsid w:val="003A0283"/>
    <w:rsid w:val="003A11DA"/>
    <w:rsid w:val="003A1BA8"/>
    <w:rsid w:val="003A20D5"/>
    <w:rsid w:val="003A2F92"/>
    <w:rsid w:val="003A37C0"/>
    <w:rsid w:val="003A6E40"/>
    <w:rsid w:val="003B06F1"/>
    <w:rsid w:val="003B1DD0"/>
    <w:rsid w:val="003B587E"/>
    <w:rsid w:val="003B6325"/>
    <w:rsid w:val="003C04C7"/>
    <w:rsid w:val="003C092B"/>
    <w:rsid w:val="003C3F91"/>
    <w:rsid w:val="003C5718"/>
    <w:rsid w:val="003C633E"/>
    <w:rsid w:val="003C6720"/>
    <w:rsid w:val="003D08A3"/>
    <w:rsid w:val="003D0F02"/>
    <w:rsid w:val="003D1959"/>
    <w:rsid w:val="003D26FF"/>
    <w:rsid w:val="003D3137"/>
    <w:rsid w:val="003D3B09"/>
    <w:rsid w:val="003D55A6"/>
    <w:rsid w:val="003E0960"/>
    <w:rsid w:val="003E0F9D"/>
    <w:rsid w:val="003E308E"/>
    <w:rsid w:val="003E317D"/>
    <w:rsid w:val="003E54F7"/>
    <w:rsid w:val="003E5568"/>
    <w:rsid w:val="003E7352"/>
    <w:rsid w:val="003F0011"/>
    <w:rsid w:val="003F007A"/>
    <w:rsid w:val="003F081D"/>
    <w:rsid w:val="003F0DB8"/>
    <w:rsid w:val="003F19E9"/>
    <w:rsid w:val="003F1E04"/>
    <w:rsid w:val="003F3071"/>
    <w:rsid w:val="003F36A7"/>
    <w:rsid w:val="003F3A94"/>
    <w:rsid w:val="003F499F"/>
    <w:rsid w:val="003F59E6"/>
    <w:rsid w:val="003F6D69"/>
    <w:rsid w:val="003F7B71"/>
    <w:rsid w:val="00400418"/>
    <w:rsid w:val="00400E66"/>
    <w:rsid w:val="004012E3"/>
    <w:rsid w:val="004014E1"/>
    <w:rsid w:val="004039AD"/>
    <w:rsid w:val="00405FC1"/>
    <w:rsid w:val="00406747"/>
    <w:rsid w:val="00406CD6"/>
    <w:rsid w:val="00407670"/>
    <w:rsid w:val="00411CE5"/>
    <w:rsid w:val="004121EF"/>
    <w:rsid w:val="00413FFD"/>
    <w:rsid w:val="004142F4"/>
    <w:rsid w:val="00416BB4"/>
    <w:rsid w:val="00417BE7"/>
    <w:rsid w:val="00426083"/>
    <w:rsid w:val="004269A5"/>
    <w:rsid w:val="0042773B"/>
    <w:rsid w:val="00431A2B"/>
    <w:rsid w:val="004325CF"/>
    <w:rsid w:val="00433218"/>
    <w:rsid w:val="00433841"/>
    <w:rsid w:val="00434E64"/>
    <w:rsid w:val="004357E6"/>
    <w:rsid w:val="00436C9D"/>
    <w:rsid w:val="004404AC"/>
    <w:rsid w:val="00440DD4"/>
    <w:rsid w:val="00442BD9"/>
    <w:rsid w:val="00442C28"/>
    <w:rsid w:val="00444D7B"/>
    <w:rsid w:val="00446269"/>
    <w:rsid w:val="004467E2"/>
    <w:rsid w:val="004471B3"/>
    <w:rsid w:val="00447A77"/>
    <w:rsid w:val="0045026B"/>
    <w:rsid w:val="004508F4"/>
    <w:rsid w:val="00450ECD"/>
    <w:rsid w:val="00453B49"/>
    <w:rsid w:val="004556F4"/>
    <w:rsid w:val="00455701"/>
    <w:rsid w:val="004557BD"/>
    <w:rsid w:val="00457FB5"/>
    <w:rsid w:val="00461A41"/>
    <w:rsid w:val="0046354C"/>
    <w:rsid w:val="00463F92"/>
    <w:rsid w:val="0046440D"/>
    <w:rsid w:val="00464421"/>
    <w:rsid w:val="004673EA"/>
    <w:rsid w:val="00467926"/>
    <w:rsid w:val="00470F8E"/>
    <w:rsid w:val="004729A3"/>
    <w:rsid w:val="00474763"/>
    <w:rsid w:val="00474DA8"/>
    <w:rsid w:val="004751B3"/>
    <w:rsid w:val="004759C7"/>
    <w:rsid w:val="0048028F"/>
    <w:rsid w:val="004816D4"/>
    <w:rsid w:val="0048195D"/>
    <w:rsid w:val="00483258"/>
    <w:rsid w:val="00483DB4"/>
    <w:rsid w:val="0048412C"/>
    <w:rsid w:val="00485316"/>
    <w:rsid w:val="00490B78"/>
    <w:rsid w:val="004913C6"/>
    <w:rsid w:val="004928A6"/>
    <w:rsid w:val="00493385"/>
    <w:rsid w:val="00494B7A"/>
    <w:rsid w:val="00495313"/>
    <w:rsid w:val="00495454"/>
    <w:rsid w:val="00495619"/>
    <w:rsid w:val="00496B9A"/>
    <w:rsid w:val="004972AC"/>
    <w:rsid w:val="004A1F1F"/>
    <w:rsid w:val="004A1F21"/>
    <w:rsid w:val="004A2038"/>
    <w:rsid w:val="004A22D8"/>
    <w:rsid w:val="004A42F1"/>
    <w:rsid w:val="004A495A"/>
    <w:rsid w:val="004A58A5"/>
    <w:rsid w:val="004A6D0E"/>
    <w:rsid w:val="004A7E40"/>
    <w:rsid w:val="004B01C3"/>
    <w:rsid w:val="004B1BB9"/>
    <w:rsid w:val="004B3FBB"/>
    <w:rsid w:val="004B5D48"/>
    <w:rsid w:val="004B7BE9"/>
    <w:rsid w:val="004C002C"/>
    <w:rsid w:val="004C0684"/>
    <w:rsid w:val="004C090B"/>
    <w:rsid w:val="004C100F"/>
    <w:rsid w:val="004C6243"/>
    <w:rsid w:val="004C67D6"/>
    <w:rsid w:val="004C6961"/>
    <w:rsid w:val="004C6CAE"/>
    <w:rsid w:val="004C6F27"/>
    <w:rsid w:val="004D19C4"/>
    <w:rsid w:val="004D3C9E"/>
    <w:rsid w:val="004D4672"/>
    <w:rsid w:val="004D5CA3"/>
    <w:rsid w:val="004D5F3B"/>
    <w:rsid w:val="004D6B1E"/>
    <w:rsid w:val="004E0930"/>
    <w:rsid w:val="004E5F32"/>
    <w:rsid w:val="004E603C"/>
    <w:rsid w:val="004F0854"/>
    <w:rsid w:val="004F1253"/>
    <w:rsid w:val="004F2986"/>
    <w:rsid w:val="004F626D"/>
    <w:rsid w:val="004F6428"/>
    <w:rsid w:val="004F7C9A"/>
    <w:rsid w:val="00500BA2"/>
    <w:rsid w:val="00500E7A"/>
    <w:rsid w:val="00501177"/>
    <w:rsid w:val="005017E8"/>
    <w:rsid w:val="00501B52"/>
    <w:rsid w:val="005041E1"/>
    <w:rsid w:val="005057E4"/>
    <w:rsid w:val="00507B04"/>
    <w:rsid w:val="005100AB"/>
    <w:rsid w:val="00510419"/>
    <w:rsid w:val="005128CF"/>
    <w:rsid w:val="00515E11"/>
    <w:rsid w:val="00523479"/>
    <w:rsid w:val="00523732"/>
    <w:rsid w:val="00527B4E"/>
    <w:rsid w:val="00527BB5"/>
    <w:rsid w:val="005301FB"/>
    <w:rsid w:val="00530830"/>
    <w:rsid w:val="0053163D"/>
    <w:rsid w:val="005317EE"/>
    <w:rsid w:val="00532EA7"/>
    <w:rsid w:val="00533543"/>
    <w:rsid w:val="00535034"/>
    <w:rsid w:val="00536F3B"/>
    <w:rsid w:val="005373B9"/>
    <w:rsid w:val="005378A0"/>
    <w:rsid w:val="00537A8E"/>
    <w:rsid w:val="00542F07"/>
    <w:rsid w:val="0054345E"/>
    <w:rsid w:val="00545150"/>
    <w:rsid w:val="00545520"/>
    <w:rsid w:val="005462D0"/>
    <w:rsid w:val="005462FA"/>
    <w:rsid w:val="005506DF"/>
    <w:rsid w:val="0055171E"/>
    <w:rsid w:val="00551DC9"/>
    <w:rsid w:val="00552553"/>
    <w:rsid w:val="00552984"/>
    <w:rsid w:val="005553E4"/>
    <w:rsid w:val="005564FC"/>
    <w:rsid w:val="00556807"/>
    <w:rsid w:val="00562D8F"/>
    <w:rsid w:val="00563274"/>
    <w:rsid w:val="005634B1"/>
    <w:rsid w:val="00563781"/>
    <w:rsid w:val="00564A97"/>
    <w:rsid w:val="00572930"/>
    <w:rsid w:val="00573189"/>
    <w:rsid w:val="00573F6B"/>
    <w:rsid w:val="005748A8"/>
    <w:rsid w:val="0057593C"/>
    <w:rsid w:val="00575E8F"/>
    <w:rsid w:val="005776D5"/>
    <w:rsid w:val="0058037A"/>
    <w:rsid w:val="005826F4"/>
    <w:rsid w:val="0058676C"/>
    <w:rsid w:val="005872D7"/>
    <w:rsid w:val="0059022F"/>
    <w:rsid w:val="005921DA"/>
    <w:rsid w:val="00593E93"/>
    <w:rsid w:val="00595551"/>
    <w:rsid w:val="005958FE"/>
    <w:rsid w:val="005975B0"/>
    <w:rsid w:val="005978C1"/>
    <w:rsid w:val="00597D31"/>
    <w:rsid w:val="005A0310"/>
    <w:rsid w:val="005A0615"/>
    <w:rsid w:val="005A20C5"/>
    <w:rsid w:val="005A37C6"/>
    <w:rsid w:val="005A71A4"/>
    <w:rsid w:val="005B1BD2"/>
    <w:rsid w:val="005B1EC8"/>
    <w:rsid w:val="005B2A90"/>
    <w:rsid w:val="005B2B2F"/>
    <w:rsid w:val="005B2C5A"/>
    <w:rsid w:val="005B3F43"/>
    <w:rsid w:val="005B50DF"/>
    <w:rsid w:val="005B54F0"/>
    <w:rsid w:val="005B5A00"/>
    <w:rsid w:val="005C0C44"/>
    <w:rsid w:val="005C5AF1"/>
    <w:rsid w:val="005C5BAC"/>
    <w:rsid w:val="005D22F4"/>
    <w:rsid w:val="005D28B0"/>
    <w:rsid w:val="005D3934"/>
    <w:rsid w:val="005D508E"/>
    <w:rsid w:val="005D60E4"/>
    <w:rsid w:val="005E1BE7"/>
    <w:rsid w:val="005E24D4"/>
    <w:rsid w:val="005E428B"/>
    <w:rsid w:val="005E48F1"/>
    <w:rsid w:val="005E4C81"/>
    <w:rsid w:val="005E5DFF"/>
    <w:rsid w:val="005E5E4A"/>
    <w:rsid w:val="005E6092"/>
    <w:rsid w:val="005F007F"/>
    <w:rsid w:val="005F0115"/>
    <w:rsid w:val="005F17CC"/>
    <w:rsid w:val="005F4625"/>
    <w:rsid w:val="005F4A77"/>
    <w:rsid w:val="005F573E"/>
    <w:rsid w:val="005F59C6"/>
    <w:rsid w:val="005F6135"/>
    <w:rsid w:val="005F669E"/>
    <w:rsid w:val="005F77D7"/>
    <w:rsid w:val="005F78DA"/>
    <w:rsid w:val="00600DE4"/>
    <w:rsid w:val="0060209B"/>
    <w:rsid w:val="00602B55"/>
    <w:rsid w:val="00603C14"/>
    <w:rsid w:val="006052F4"/>
    <w:rsid w:val="00606BF4"/>
    <w:rsid w:val="006078A5"/>
    <w:rsid w:val="006117BB"/>
    <w:rsid w:val="0061238E"/>
    <w:rsid w:val="0061318A"/>
    <w:rsid w:val="006136F1"/>
    <w:rsid w:val="00615C2E"/>
    <w:rsid w:val="00622DB4"/>
    <w:rsid w:val="00625BFC"/>
    <w:rsid w:val="00625C1E"/>
    <w:rsid w:val="00627181"/>
    <w:rsid w:val="006339F6"/>
    <w:rsid w:val="00633F5B"/>
    <w:rsid w:val="006353CF"/>
    <w:rsid w:val="00635CEC"/>
    <w:rsid w:val="00637601"/>
    <w:rsid w:val="00640226"/>
    <w:rsid w:val="00643793"/>
    <w:rsid w:val="00643DC4"/>
    <w:rsid w:val="006450ED"/>
    <w:rsid w:val="006459A0"/>
    <w:rsid w:val="00650519"/>
    <w:rsid w:val="006514A5"/>
    <w:rsid w:val="0065598B"/>
    <w:rsid w:val="006607D7"/>
    <w:rsid w:val="0066217C"/>
    <w:rsid w:val="0066515E"/>
    <w:rsid w:val="00665DAC"/>
    <w:rsid w:val="006671CE"/>
    <w:rsid w:val="00670A6C"/>
    <w:rsid w:val="00670C1B"/>
    <w:rsid w:val="00672D97"/>
    <w:rsid w:val="00680C0F"/>
    <w:rsid w:val="0068209D"/>
    <w:rsid w:val="006845AC"/>
    <w:rsid w:val="006859C7"/>
    <w:rsid w:val="00685D6B"/>
    <w:rsid w:val="00693138"/>
    <w:rsid w:val="0069418D"/>
    <w:rsid w:val="00694597"/>
    <w:rsid w:val="00694DDD"/>
    <w:rsid w:val="00695279"/>
    <w:rsid w:val="006A02C0"/>
    <w:rsid w:val="006A0DA1"/>
    <w:rsid w:val="006A392A"/>
    <w:rsid w:val="006A4E7B"/>
    <w:rsid w:val="006A6402"/>
    <w:rsid w:val="006A7CAA"/>
    <w:rsid w:val="006B0268"/>
    <w:rsid w:val="006B070C"/>
    <w:rsid w:val="006B3659"/>
    <w:rsid w:val="006C0F9D"/>
    <w:rsid w:val="006C193D"/>
    <w:rsid w:val="006C25B2"/>
    <w:rsid w:val="006C28ED"/>
    <w:rsid w:val="006C2AB8"/>
    <w:rsid w:val="006C43BC"/>
    <w:rsid w:val="006C5E02"/>
    <w:rsid w:val="006C5EF0"/>
    <w:rsid w:val="006C7E82"/>
    <w:rsid w:val="006D083D"/>
    <w:rsid w:val="006D3096"/>
    <w:rsid w:val="006D3512"/>
    <w:rsid w:val="006D3547"/>
    <w:rsid w:val="006D3C08"/>
    <w:rsid w:val="006D4E0A"/>
    <w:rsid w:val="006D5068"/>
    <w:rsid w:val="006D58D3"/>
    <w:rsid w:val="006D78CB"/>
    <w:rsid w:val="006D7B3C"/>
    <w:rsid w:val="006D7FC5"/>
    <w:rsid w:val="006E00FD"/>
    <w:rsid w:val="006E02D6"/>
    <w:rsid w:val="006E17EF"/>
    <w:rsid w:val="006E648A"/>
    <w:rsid w:val="006E65B4"/>
    <w:rsid w:val="006E6EAE"/>
    <w:rsid w:val="006E7D8D"/>
    <w:rsid w:val="006F0E07"/>
    <w:rsid w:val="006F157E"/>
    <w:rsid w:val="006F2CB0"/>
    <w:rsid w:val="006F347D"/>
    <w:rsid w:val="006F6002"/>
    <w:rsid w:val="006F6364"/>
    <w:rsid w:val="006F744D"/>
    <w:rsid w:val="00702B26"/>
    <w:rsid w:val="00702E96"/>
    <w:rsid w:val="00704282"/>
    <w:rsid w:val="00704371"/>
    <w:rsid w:val="00706AAD"/>
    <w:rsid w:val="00707020"/>
    <w:rsid w:val="007072F1"/>
    <w:rsid w:val="0070757C"/>
    <w:rsid w:val="00711023"/>
    <w:rsid w:val="007122C1"/>
    <w:rsid w:val="00713FE4"/>
    <w:rsid w:val="00714A59"/>
    <w:rsid w:val="00715838"/>
    <w:rsid w:val="00721D30"/>
    <w:rsid w:val="00722427"/>
    <w:rsid w:val="00723736"/>
    <w:rsid w:val="00725057"/>
    <w:rsid w:val="00726148"/>
    <w:rsid w:val="00726355"/>
    <w:rsid w:val="00726B0F"/>
    <w:rsid w:val="00730F4C"/>
    <w:rsid w:val="00732BC0"/>
    <w:rsid w:val="00735563"/>
    <w:rsid w:val="007361C9"/>
    <w:rsid w:val="00737F9C"/>
    <w:rsid w:val="007401B1"/>
    <w:rsid w:val="00741322"/>
    <w:rsid w:val="00741937"/>
    <w:rsid w:val="00742321"/>
    <w:rsid w:val="00742435"/>
    <w:rsid w:val="007425FD"/>
    <w:rsid w:val="00742902"/>
    <w:rsid w:val="00743C0A"/>
    <w:rsid w:val="00743F62"/>
    <w:rsid w:val="00746496"/>
    <w:rsid w:val="00746A9A"/>
    <w:rsid w:val="00751813"/>
    <w:rsid w:val="007548FF"/>
    <w:rsid w:val="00754A3A"/>
    <w:rsid w:val="00760EC7"/>
    <w:rsid w:val="0076146F"/>
    <w:rsid w:val="007618FF"/>
    <w:rsid w:val="00762CC1"/>
    <w:rsid w:val="00763E1A"/>
    <w:rsid w:val="00764095"/>
    <w:rsid w:val="00765543"/>
    <w:rsid w:val="00765678"/>
    <w:rsid w:val="00766335"/>
    <w:rsid w:val="007706AC"/>
    <w:rsid w:val="00771B63"/>
    <w:rsid w:val="00771FF7"/>
    <w:rsid w:val="00772802"/>
    <w:rsid w:val="007743F5"/>
    <w:rsid w:val="00774547"/>
    <w:rsid w:val="00777C93"/>
    <w:rsid w:val="00780682"/>
    <w:rsid w:val="00781D76"/>
    <w:rsid w:val="00781D90"/>
    <w:rsid w:val="00782DB3"/>
    <w:rsid w:val="00784EB0"/>
    <w:rsid w:val="007857C4"/>
    <w:rsid w:val="0078600A"/>
    <w:rsid w:val="00786445"/>
    <w:rsid w:val="00790725"/>
    <w:rsid w:val="00790D9E"/>
    <w:rsid w:val="00791061"/>
    <w:rsid w:val="00792239"/>
    <w:rsid w:val="00792C58"/>
    <w:rsid w:val="0079328D"/>
    <w:rsid w:val="007972CA"/>
    <w:rsid w:val="0079784C"/>
    <w:rsid w:val="007A46CD"/>
    <w:rsid w:val="007A537F"/>
    <w:rsid w:val="007B0A9A"/>
    <w:rsid w:val="007B3621"/>
    <w:rsid w:val="007B41DE"/>
    <w:rsid w:val="007B7EC5"/>
    <w:rsid w:val="007C0929"/>
    <w:rsid w:val="007C1DA7"/>
    <w:rsid w:val="007C2AAB"/>
    <w:rsid w:val="007C36BA"/>
    <w:rsid w:val="007C5B64"/>
    <w:rsid w:val="007C6056"/>
    <w:rsid w:val="007C6EE2"/>
    <w:rsid w:val="007D0BAB"/>
    <w:rsid w:val="007D183C"/>
    <w:rsid w:val="007D31CE"/>
    <w:rsid w:val="007D36E7"/>
    <w:rsid w:val="007D3B44"/>
    <w:rsid w:val="007D4377"/>
    <w:rsid w:val="007D4AD8"/>
    <w:rsid w:val="007D5A68"/>
    <w:rsid w:val="007D5C37"/>
    <w:rsid w:val="007D6516"/>
    <w:rsid w:val="007D76FE"/>
    <w:rsid w:val="007E052C"/>
    <w:rsid w:val="007E07F8"/>
    <w:rsid w:val="007E12F8"/>
    <w:rsid w:val="007E2384"/>
    <w:rsid w:val="007E3B90"/>
    <w:rsid w:val="007E40E9"/>
    <w:rsid w:val="007E4434"/>
    <w:rsid w:val="007E4B1B"/>
    <w:rsid w:val="007E54AA"/>
    <w:rsid w:val="007E5D99"/>
    <w:rsid w:val="007E7BB7"/>
    <w:rsid w:val="007F1162"/>
    <w:rsid w:val="007F1A90"/>
    <w:rsid w:val="007F283C"/>
    <w:rsid w:val="007F284B"/>
    <w:rsid w:val="007F3447"/>
    <w:rsid w:val="007F4342"/>
    <w:rsid w:val="007F4C7D"/>
    <w:rsid w:val="007F7364"/>
    <w:rsid w:val="00802085"/>
    <w:rsid w:val="0080412F"/>
    <w:rsid w:val="00804D3A"/>
    <w:rsid w:val="00805222"/>
    <w:rsid w:val="00806493"/>
    <w:rsid w:val="00807C27"/>
    <w:rsid w:val="00807DC5"/>
    <w:rsid w:val="00812157"/>
    <w:rsid w:val="00814DAA"/>
    <w:rsid w:val="00814FDE"/>
    <w:rsid w:val="00816DC9"/>
    <w:rsid w:val="0081730F"/>
    <w:rsid w:val="00822761"/>
    <w:rsid w:val="00824E13"/>
    <w:rsid w:val="00825415"/>
    <w:rsid w:val="00825C35"/>
    <w:rsid w:val="00830BA1"/>
    <w:rsid w:val="00833678"/>
    <w:rsid w:val="00833945"/>
    <w:rsid w:val="0083527A"/>
    <w:rsid w:val="00835989"/>
    <w:rsid w:val="00836F3D"/>
    <w:rsid w:val="00837725"/>
    <w:rsid w:val="00841695"/>
    <w:rsid w:val="00844AFD"/>
    <w:rsid w:val="00845EB3"/>
    <w:rsid w:val="00846444"/>
    <w:rsid w:val="00847B7C"/>
    <w:rsid w:val="008510CC"/>
    <w:rsid w:val="00851F92"/>
    <w:rsid w:val="00853063"/>
    <w:rsid w:val="00853DEA"/>
    <w:rsid w:val="00854674"/>
    <w:rsid w:val="0085560D"/>
    <w:rsid w:val="0085723C"/>
    <w:rsid w:val="00863F1D"/>
    <w:rsid w:val="00864358"/>
    <w:rsid w:val="0086492A"/>
    <w:rsid w:val="00865BF8"/>
    <w:rsid w:val="008704B3"/>
    <w:rsid w:val="00870F91"/>
    <w:rsid w:val="00872748"/>
    <w:rsid w:val="00875657"/>
    <w:rsid w:val="00877D77"/>
    <w:rsid w:val="0088223B"/>
    <w:rsid w:val="0088477D"/>
    <w:rsid w:val="00884B18"/>
    <w:rsid w:val="00884DBD"/>
    <w:rsid w:val="00887461"/>
    <w:rsid w:val="0088767E"/>
    <w:rsid w:val="00890248"/>
    <w:rsid w:val="00890656"/>
    <w:rsid w:val="00891376"/>
    <w:rsid w:val="00891B67"/>
    <w:rsid w:val="008945BD"/>
    <w:rsid w:val="00897644"/>
    <w:rsid w:val="008A0ED1"/>
    <w:rsid w:val="008A1CB2"/>
    <w:rsid w:val="008A2C12"/>
    <w:rsid w:val="008A2F81"/>
    <w:rsid w:val="008A3589"/>
    <w:rsid w:val="008A3E0E"/>
    <w:rsid w:val="008A4177"/>
    <w:rsid w:val="008A5728"/>
    <w:rsid w:val="008A5EC3"/>
    <w:rsid w:val="008A77D2"/>
    <w:rsid w:val="008B0C12"/>
    <w:rsid w:val="008B22DA"/>
    <w:rsid w:val="008B24B9"/>
    <w:rsid w:val="008B2DB4"/>
    <w:rsid w:val="008B4B9B"/>
    <w:rsid w:val="008B5CA1"/>
    <w:rsid w:val="008B6403"/>
    <w:rsid w:val="008B7DDE"/>
    <w:rsid w:val="008C15F5"/>
    <w:rsid w:val="008C560D"/>
    <w:rsid w:val="008C5D71"/>
    <w:rsid w:val="008C611A"/>
    <w:rsid w:val="008C7F97"/>
    <w:rsid w:val="008D0AC8"/>
    <w:rsid w:val="008D0FEF"/>
    <w:rsid w:val="008D1F31"/>
    <w:rsid w:val="008D1F4B"/>
    <w:rsid w:val="008D2E36"/>
    <w:rsid w:val="008D3579"/>
    <w:rsid w:val="008D3990"/>
    <w:rsid w:val="008D483C"/>
    <w:rsid w:val="008D7D7E"/>
    <w:rsid w:val="008E195B"/>
    <w:rsid w:val="008E31FA"/>
    <w:rsid w:val="008E34F2"/>
    <w:rsid w:val="008E4D36"/>
    <w:rsid w:val="008E72A5"/>
    <w:rsid w:val="008F0329"/>
    <w:rsid w:val="008F1D28"/>
    <w:rsid w:val="008F2DF9"/>
    <w:rsid w:val="008F3C6C"/>
    <w:rsid w:val="008F66A6"/>
    <w:rsid w:val="0090050E"/>
    <w:rsid w:val="00901B7A"/>
    <w:rsid w:val="00902656"/>
    <w:rsid w:val="009027AB"/>
    <w:rsid w:val="00902F7D"/>
    <w:rsid w:val="0090425A"/>
    <w:rsid w:val="00904AC1"/>
    <w:rsid w:val="00904B35"/>
    <w:rsid w:val="00905705"/>
    <w:rsid w:val="00905E9C"/>
    <w:rsid w:val="00906C5A"/>
    <w:rsid w:val="00907FE9"/>
    <w:rsid w:val="009114BE"/>
    <w:rsid w:val="00913A6C"/>
    <w:rsid w:val="00914514"/>
    <w:rsid w:val="00915208"/>
    <w:rsid w:val="00915B77"/>
    <w:rsid w:val="009169BA"/>
    <w:rsid w:val="009173E0"/>
    <w:rsid w:val="00917D84"/>
    <w:rsid w:val="00917D96"/>
    <w:rsid w:val="00922474"/>
    <w:rsid w:val="009226FF"/>
    <w:rsid w:val="00922B50"/>
    <w:rsid w:val="00922FD7"/>
    <w:rsid w:val="009239F2"/>
    <w:rsid w:val="00923AA2"/>
    <w:rsid w:val="00923B7D"/>
    <w:rsid w:val="00925C8B"/>
    <w:rsid w:val="00925D30"/>
    <w:rsid w:val="00927753"/>
    <w:rsid w:val="0093108D"/>
    <w:rsid w:val="00932323"/>
    <w:rsid w:val="00932A8E"/>
    <w:rsid w:val="009348A3"/>
    <w:rsid w:val="00935E0D"/>
    <w:rsid w:val="00937734"/>
    <w:rsid w:val="00940BB8"/>
    <w:rsid w:val="00941509"/>
    <w:rsid w:val="0094343C"/>
    <w:rsid w:val="009461F3"/>
    <w:rsid w:val="00946D48"/>
    <w:rsid w:val="009508D0"/>
    <w:rsid w:val="00950999"/>
    <w:rsid w:val="009511AD"/>
    <w:rsid w:val="009518DE"/>
    <w:rsid w:val="009521DD"/>
    <w:rsid w:val="00952A44"/>
    <w:rsid w:val="00953E95"/>
    <w:rsid w:val="009545CD"/>
    <w:rsid w:val="0095792D"/>
    <w:rsid w:val="00957CA8"/>
    <w:rsid w:val="009602CD"/>
    <w:rsid w:val="00962D9D"/>
    <w:rsid w:val="00962FFD"/>
    <w:rsid w:val="009657DC"/>
    <w:rsid w:val="00967112"/>
    <w:rsid w:val="00967E11"/>
    <w:rsid w:val="009712B4"/>
    <w:rsid w:val="00971A24"/>
    <w:rsid w:val="0097224E"/>
    <w:rsid w:val="00975BDB"/>
    <w:rsid w:val="00977211"/>
    <w:rsid w:val="009804AE"/>
    <w:rsid w:val="009804C6"/>
    <w:rsid w:val="009841B1"/>
    <w:rsid w:val="00984BEB"/>
    <w:rsid w:val="009864D2"/>
    <w:rsid w:val="00986509"/>
    <w:rsid w:val="00986AB4"/>
    <w:rsid w:val="0098767E"/>
    <w:rsid w:val="00990071"/>
    <w:rsid w:val="00990ABE"/>
    <w:rsid w:val="0099142C"/>
    <w:rsid w:val="00993BBC"/>
    <w:rsid w:val="00996E35"/>
    <w:rsid w:val="009A112A"/>
    <w:rsid w:val="009A2326"/>
    <w:rsid w:val="009A3768"/>
    <w:rsid w:val="009A3E29"/>
    <w:rsid w:val="009A4417"/>
    <w:rsid w:val="009A5631"/>
    <w:rsid w:val="009A56DB"/>
    <w:rsid w:val="009A66FE"/>
    <w:rsid w:val="009A7734"/>
    <w:rsid w:val="009B5814"/>
    <w:rsid w:val="009B63F6"/>
    <w:rsid w:val="009B7DA2"/>
    <w:rsid w:val="009C03B4"/>
    <w:rsid w:val="009C0C4A"/>
    <w:rsid w:val="009C32D9"/>
    <w:rsid w:val="009C6412"/>
    <w:rsid w:val="009C6F99"/>
    <w:rsid w:val="009D27AB"/>
    <w:rsid w:val="009D40B9"/>
    <w:rsid w:val="009D48AA"/>
    <w:rsid w:val="009D48EB"/>
    <w:rsid w:val="009D4C9B"/>
    <w:rsid w:val="009D5040"/>
    <w:rsid w:val="009D5D9B"/>
    <w:rsid w:val="009D6C8C"/>
    <w:rsid w:val="009D7301"/>
    <w:rsid w:val="009E02CB"/>
    <w:rsid w:val="009E0718"/>
    <w:rsid w:val="009E365F"/>
    <w:rsid w:val="009E4A57"/>
    <w:rsid w:val="009E5105"/>
    <w:rsid w:val="009E558D"/>
    <w:rsid w:val="009E59D9"/>
    <w:rsid w:val="009E6205"/>
    <w:rsid w:val="009E6295"/>
    <w:rsid w:val="009E62EE"/>
    <w:rsid w:val="009E731F"/>
    <w:rsid w:val="009E78BB"/>
    <w:rsid w:val="009F035E"/>
    <w:rsid w:val="009F0807"/>
    <w:rsid w:val="009F3290"/>
    <w:rsid w:val="009F3418"/>
    <w:rsid w:val="009F40E2"/>
    <w:rsid w:val="009F40FA"/>
    <w:rsid w:val="009F4A65"/>
    <w:rsid w:val="00A00366"/>
    <w:rsid w:val="00A0041F"/>
    <w:rsid w:val="00A00BC6"/>
    <w:rsid w:val="00A041D1"/>
    <w:rsid w:val="00A047D5"/>
    <w:rsid w:val="00A04D43"/>
    <w:rsid w:val="00A072C8"/>
    <w:rsid w:val="00A07E17"/>
    <w:rsid w:val="00A07FDC"/>
    <w:rsid w:val="00A10AE1"/>
    <w:rsid w:val="00A1194A"/>
    <w:rsid w:val="00A11E38"/>
    <w:rsid w:val="00A12C14"/>
    <w:rsid w:val="00A12C83"/>
    <w:rsid w:val="00A1329D"/>
    <w:rsid w:val="00A20112"/>
    <w:rsid w:val="00A20DC1"/>
    <w:rsid w:val="00A272D4"/>
    <w:rsid w:val="00A30E14"/>
    <w:rsid w:val="00A30E8A"/>
    <w:rsid w:val="00A343FF"/>
    <w:rsid w:val="00A34BAF"/>
    <w:rsid w:val="00A367E7"/>
    <w:rsid w:val="00A40323"/>
    <w:rsid w:val="00A40F5C"/>
    <w:rsid w:val="00A4179B"/>
    <w:rsid w:val="00A42B83"/>
    <w:rsid w:val="00A4324E"/>
    <w:rsid w:val="00A43464"/>
    <w:rsid w:val="00A452CF"/>
    <w:rsid w:val="00A465AD"/>
    <w:rsid w:val="00A47E85"/>
    <w:rsid w:val="00A5389C"/>
    <w:rsid w:val="00A538C1"/>
    <w:rsid w:val="00A55B2C"/>
    <w:rsid w:val="00A570B2"/>
    <w:rsid w:val="00A57744"/>
    <w:rsid w:val="00A60E5C"/>
    <w:rsid w:val="00A61670"/>
    <w:rsid w:val="00A62916"/>
    <w:rsid w:val="00A635A7"/>
    <w:rsid w:val="00A63A8D"/>
    <w:rsid w:val="00A6434A"/>
    <w:rsid w:val="00A67F5E"/>
    <w:rsid w:val="00A713B3"/>
    <w:rsid w:val="00A723A3"/>
    <w:rsid w:val="00A72EA5"/>
    <w:rsid w:val="00A73DAD"/>
    <w:rsid w:val="00A73F89"/>
    <w:rsid w:val="00A741D6"/>
    <w:rsid w:val="00A741E2"/>
    <w:rsid w:val="00A75D80"/>
    <w:rsid w:val="00A77C36"/>
    <w:rsid w:val="00A825FB"/>
    <w:rsid w:val="00A840C2"/>
    <w:rsid w:val="00A84C7E"/>
    <w:rsid w:val="00A86388"/>
    <w:rsid w:val="00A87DFD"/>
    <w:rsid w:val="00A9167D"/>
    <w:rsid w:val="00A93364"/>
    <w:rsid w:val="00A943D1"/>
    <w:rsid w:val="00A94706"/>
    <w:rsid w:val="00A950DC"/>
    <w:rsid w:val="00AA237F"/>
    <w:rsid w:val="00AA30BC"/>
    <w:rsid w:val="00AA444D"/>
    <w:rsid w:val="00AA6CDE"/>
    <w:rsid w:val="00AA7336"/>
    <w:rsid w:val="00AA7A0D"/>
    <w:rsid w:val="00AB2869"/>
    <w:rsid w:val="00AB35F7"/>
    <w:rsid w:val="00AB588B"/>
    <w:rsid w:val="00AB644B"/>
    <w:rsid w:val="00AB74D6"/>
    <w:rsid w:val="00AC065B"/>
    <w:rsid w:val="00AC1C9C"/>
    <w:rsid w:val="00AC1D3D"/>
    <w:rsid w:val="00AC2009"/>
    <w:rsid w:val="00AC3EB0"/>
    <w:rsid w:val="00AC4865"/>
    <w:rsid w:val="00AC4F8B"/>
    <w:rsid w:val="00AD28D6"/>
    <w:rsid w:val="00AD341B"/>
    <w:rsid w:val="00AD36E7"/>
    <w:rsid w:val="00AD7173"/>
    <w:rsid w:val="00AD7FB5"/>
    <w:rsid w:val="00AE24DF"/>
    <w:rsid w:val="00AE42D0"/>
    <w:rsid w:val="00AE7C8E"/>
    <w:rsid w:val="00AF0625"/>
    <w:rsid w:val="00AF0EC8"/>
    <w:rsid w:val="00AF2570"/>
    <w:rsid w:val="00AF2A02"/>
    <w:rsid w:val="00AF43D7"/>
    <w:rsid w:val="00AF5C39"/>
    <w:rsid w:val="00B009B6"/>
    <w:rsid w:val="00B01769"/>
    <w:rsid w:val="00B0187A"/>
    <w:rsid w:val="00B039D8"/>
    <w:rsid w:val="00B03E2C"/>
    <w:rsid w:val="00B040F4"/>
    <w:rsid w:val="00B04F7F"/>
    <w:rsid w:val="00B06681"/>
    <w:rsid w:val="00B070C9"/>
    <w:rsid w:val="00B12587"/>
    <w:rsid w:val="00B126D8"/>
    <w:rsid w:val="00B139A0"/>
    <w:rsid w:val="00B16285"/>
    <w:rsid w:val="00B20A90"/>
    <w:rsid w:val="00B21825"/>
    <w:rsid w:val="00B21F81"/>
    <w:rsid w:val="00B220FB"/>
    <w:rsid w:val="00B2559A"/>
    <w:rsid w:val="00B2568E"/>
    <w:rsid w:val="00B278CE"/>
    <w:rsid w:val="00B30807"/>
    <w:rsid w:val="00B30ADF"/>
    <w:rsid w:val="00B333CC"/>
    <w:rsid w:val="00B33D5C"/>
    <w:rsid w:val="00B34386"/>
    <w:rsid w:val="00B34BFA"/>
    <w:rsid w:val="00B34CE0"/>
    <w:rsid w:val="00B34FB5"/>
    <w:rsid w:val="00B36771"/>
    <w:rsid w:val="00B40091"/>
    <w:rsid w:val="00B40755"/>
    <w:rsid w:val="00B44EFC"/>
    <w:rsid w:val="00B4610B"/>
    <w:rsid w:val="00B47DFF"/>
    <w:rsid w:val="00B513C3"/>
    <w:rsid w:val="00B52EA4"/>
    <w:rsid w:val="00B5302B"/>
    <w:rsid w:val="00B53BA8"/>
    <w:rsid w:val="00B54328"/>
    <w:rsid w:val="00B54BD6"/>
    <w:rsid w:val="00B5589F"/>
    <w:rsid w:val="00B57D92"/>
    <w:rsid w:val="00B615B0"/>
    <w:rsid w:val="00B617FF"/>
    <w:rsid w:val="00B61904"/>
    <w:rsid w:val="00B66326"/>
    <w:rsid w:val="00B67090"/>
    <w:rsid w:val="00B67BD7"/>
    <w:rsid w:val="00B71EC9"/>
    <w:rsid w:val="00B7200D"/>
    <w:rsid w:val="00B723F4"/>
    <w:rsid w:val="00B726E7"/>
    <w:rsid w:val="00B72994"/>
    <w:rsid w:val="00B73DB0"/>
    <w:rsid w:val="00B73ED5"/>
    <w:rsid w:val="00B74329"/>
    <w:rsid w:val="00B766FD"/>
    <w:rsid w:val="00B83067"/>
    <w:rsid w:val="00B85C38"/>
    <w:rsid w:val="00B8655C"/>
    <w:rsid w:val="00B86B4A"/>
    <w:rsid w:val="00B87816"/>
    <w:rsid w:val="00B9039D"/>
    <w:rsid w:val="00B95A37"/>
    <w:rsid w:val="00B96092"/>
    <w:rsid w:val="00B97D17"/>
    <w:rsid w:val="00BA023B"/>
    <w:rsid w:val="00BA0ECD"/>
    <w:rsid w:val="00BA2881"/>
    <w:rsid w:val="00BA3EC8"/>
    <w:rsid w:val="00BA3FB8"/>
    <w:rsid w:val="00BA4E4A"/>
    <w:rsid w:val="00BA6118"/>
    <w:rsid w:val="00BA613D"/>
    <w:rsid w:val="00BA66AB"/>
    <w:rsid w:val="00BA688A"/>
    <w:rsid w:val="00BB23C1"/>
    <w:rsid w:val="00BB257F"/>
    <w:rsid w:val="00BB26E2"/>
    <w:rsid w:val="00BB3306"/>
    <w:rsid w:val="00BB3D90"/>
    <w:rsid w:val="00BB68F3"/>
    <w:rsid w:val="00BB6BBA"/>
    <w:rsid w:val="00BB7856"/>
    <w:rsid w:val="00BC26BA"/>
    <w:rsid w:val="00BC3102"/>
    <w:rsid w:val="00BC64BF"/>
    <w:rsid w:val="00BC6BC9"/>
    <w:rsid w:val="00BD0D33"/>
    <w:rsid w:val="00BD2221"/>
    <w:rsid w:val="00BD3888"/>
    <w:rsid w:val="00BD4939"/>
    <w:rsid w:val="00BD4F4D"/>
    <w:rsid w:val="00BD60D4"/>
    <w:rsid w:val="00BD616B"/>
    <w:rsid w:val="00BD6639"/>
    <w:rsid w:val="00BD7185"/>
    <w:rsid w:val="00BD7B06"/>
    <w:rsid w:val="00BE04B2"/>
    <w:rsid w:val="00BE12D1"/>
    <w:rsid w:val="00BE3BF1"/>
    <w:rsid w:val="00BE548F"/>
    <w:rsid w:val="00BE74E0"/>
    <w:rsid w:val="00BF0794"/>
    <w:rsid w:val="00BF10CD"/>
    <w:rsid w:val="00BF2907"/>
    <w:rsid w:val="00BF3AC0"/>
    <w:rsid w:val="00BF4558"/>
    <w:rsid w:val="00BF4FDE"/>
    <w:rsid w:val="00BF5236"/>
    <w:rsid w:val="00BF600F"/>
    <w:rsid w:val="00BF66A7"/>
    <w:rsid w:val="00BF6EDD"/>
    <w:rsid w:val="00BF6F1B"/>
    <w:rsid w:val="00BF74E3"/>
    <w:rsid w:val="00BF7CCF"/>
    <w:rsid w:val="00C0248B"/>
    <w:rsid w:val="00C04B90"/>
    <w:rsid w:val="00C053E2"/>
    <w:rsid w:val="00C06F24"/>
    <w:rsid w:val="00C073A1"/>
    <w:rsid w:val="00C106C0"/>
    <w:rsid w:val="00C11D11"/>
    <w:rsid w:val="00C14422"/>
    <w:rsid w:val="00C14FF2"/>
    <w:rsid w:val="00C17E5C"/>
    <w:rsid w:val="00C21894"/>
    <w:rsid w:val="00C21E99"/>
    <w:rsid w:val="00C242C9"/>
    <w:rsid w:val="00C278E5"/>
    <w:rsid w:val="00C3064A"/>
    <w:rsid w:val="00C30A33"/>
    <w:rsid w:val="00C32040"/>
    <w:rsid w:val="00C34232"/>
    <w:rsid w:val="00C35AB2"/>
    <w:rsid w:val="00C36F0C"/>
    <w:rsid w:val="00C4188F"/>
    <w:rsid w:val="00C41996"/>
    <w:rsid w:val="00C460B6"/>
    <w:rsid w:val="00C472CC"/>
    <w:rsid w:val="00C50C53"/>
    <w:rsid w:val="00C5191A"/>
    <w:rsid w:val="00C5260D"/>
    <w:rsid w:val="00C528BD"/>
    <w:rsid w:val="00C5352B"/>
    <w:rsid w:val="00C5373E"/>
    <w:rsid w:val="00C5480D"/>
    <w:rsid w:val="00C55866"/>
    <w:rsid w:val="00C56D8B"/>
    <w:rsid w:val="00C56E89"/>
    <w:rsid w:val="00C6036A"/>
    <w:rsid w:val="00C621F3"/>
    <w:rsid w:val="00C6241E"/>
    <w:rsid w:val="00C6301F"/>
    <w:rsid w:val="00C631FB"/>
    <w:rsid w:val="00C63358"/>
    <w:rsid w:val="00C63B9F"/>
    <w:rsid w:val="00C667E0"/>
    <w:rsid w:val="00C66C3A"/>
    <w:rsid w:val="00C716FB"/>
    <w:rsid w:val="00C72853"/>
    <w:rsid w:val="00C73107"/>
    <w:rsid w:val="00C73B53"/>
    <w:rsid w:val="00C748AA"/>
    <w:rsid w:val="00C74FE7"/>
    <w:rsid w:val="00C80F65"/>
    <w:rsid w:val="00C81317"/>
    <w:rsid w:val="00C81F83"/>
    <w:rsid w:val="00C82414"/>
    <w:rsid w:val="00C82C19"/>
    <w:rsid w:val="00C83D3C"/>
    <w:rsid w:val="00C855E9"/>
    <w:rsid w:val="00C87507"/>
    <w:rsid w:val="00C908B3"/>
    <w:rsid w:val="00C931EF"/>
    <w:rsid w:val="00C939B1"/>
    <w:rsid w:val="00C93BF7"/>
    <w:rsid w:val="00C94716"/>
    <w:rsid w:val="00C95DFF"/>
    <w:rsid w:val="00CA08CB"/>
    <w:rsid w:val="00CA156F"/>
    <w:rsid w:val="00CA2416"/>
    <w:rsid w:val="00CA2531"/>
    <w:rsid w:val="00CA3F13"/>
    <w:rsid w:val="00CA5DDF"/>
    <w:rsid w:val="00CB0821"/>
    <w:rsid w:val="00CB11B4"/>
    <w:rsid w:val="00CB3219"/>
    <w:rsid w:val="00CB34BC"/>
    <w:rsid w:val="00CB6C00"/>
    <w:rsid w:val="00CB7F94"/>
    <w:rsid w:val="00CC02BD"/>
    <w:rsid w:val="00CC0B04"/>
    <w:rsid w:val="00CC0E64"/>
    <w:rsid w:val="00CC0FFD"/>
    <w:rsid w:val="00CC10CA"/>
    <w:rsid w:val="00CC1E07"/>
    <w:rsid w:val="00CC23B8"/>
    <w:rsid w:val="00CC2A8F"/>
    <w:rsid w:val="00CC36C1"/>
    <w:rsid w:val="00CC58C7"/>
    <w:rsid w:val="00CD0297"/>
    <w:rsid w:val="00CD0975"/>
    <w:rsid w:val="00CD1476"/>
    <w:rsid w:val="00CD32E5"/>
    <w:rsid w:val="00CD3518"/>
    <w:rsid w:val="00CD58C1"/>
    <w:rsid w:val="00CD65BE"/>
    <w:rsid w:val="00CD745F"/>
    <w:rsid w:val="00CD77DE"/>
    <w:rsid w:val="00CE0E38"/>
    <w:rsid w:val="00CE0E5A"/>
    <w:rsid w:val="00CE14C7"/>
    <w:rsid w:val="00CE2CBD"/>
    <w:rsid w:val="00CE3574"/>
    <w:rsid w:val="00CE4CBB"/>
    <w:rsid w:val="00CE5A4F"/>
    <w:rsid w:val="00CE5DDF"/>
    <w:rsid w:val="00CE672C"/>
    <w:rsid w:val="00CF0E89"/>
    <w:rsid w:val="00CF1021"/>
    <w:rsid w:val="00CF1F69"/>
    <w:rsid w:val="00CF2977"/>
    <w:rsid w:val="00CF3B4F"/>
    <w:rsid w:val="00CF3FD1"/>
    <w:rsid w:val="00CF5D68"/>
    <w:rsid w:val="00CF69E5"/>
    <w:rsid w:val="00D01394"/>
    <w:rsid w:val="00D01C6E"/>
    <w:rsid w:val="00D02336"/>
    <w:rsid w:val="00D11E3A"/>
    <w:rsid w:val="00D1702C"/>
    <w:rsid w:val="00D17FE9"/>
    <w:rsid w:val="00D20CF2"/>
    <w:rsid w:val="00D211F3"/>
    <w:rsid w:val="00D217F9"/>
    <w:rsid w:val="00D261BC"/>
    <w:rsid w:val="00D32484"/>
    <w:rsid w:val="00D3248B"/>
    <w:rsid w:val="00D32CEB"/>
    <w:rsid w:val="00D34742"/>
    <w:rsid w:val="00D35FA9"/>
    <w:rsid w:val="00D360B2"/>
    <w:rsid w:val="00D36B7F"/>
    <w:rsid w:val="00D40F5C"/>
    <w:rsid w:val="00D413EE"/>
    <w:rsid w:val="00D50BDD"/>
    <w:rsid w:val="00D51A1F"/>
    <w:rsid w:val="00D529CC"/>
    <w:rsid w:val="00D54877"/>
    <w:rsid w:val="00D55B90"/>
    <w:rsid w:val="00D568AD"/>
    <w:rsid w:val="00D56C8A"/>
    <w:rsid w:val="00D570D5"/>
    <w:rsid w:val="00D60974"/>
    <w:rsid w:val="00D60AB2"/>
    <w:rsid w:val="00D60EE9"/>
    <w:rsid w:val="00D61E24"/>
    <w:rsid w:val="00D623E6"/>
    <w:rsid w:val="00D63582"/>
    <w:rsid w:val="00D641B7"/>
    <w:rsid w:val="00D64B85"/>
    <w:rsid w:val="00D65607"/>
    <w:rsid w:val="00D70A06"/>
    <w:rsid w:val="00D7149E"/>
    <w:rsid w:val="00D719D7"/>
    <w:rsid w:val="00D71BA7"/>
    <w:rsid w:val="00D73F26"/>
    <w:rsid w:val="00D74907"/>
    <w:rsid w:val="00D7701F"/>
    <w:rsid w:val="00D777CF"/>
    <w:rsid w:val="00D77ECA"/>
    <w:rsid w:val="00D823AC"/>
    <w:rsid w:val="00D85354"/>
    <w:rsid w:val="00D87169"/>
    <w:rsid w:val="00D87555"/>
    <w:rsid w:val="00D876B7"/>
    <w:rsid w:val="00D9039E"/>
    <w:rsid w:val="00D91ABD"/>
    <w:rsid w:val="00D922E6"/>
    <w:rsid w:val="00D9259C"/>
    <w:rsid w:val="00DA0EA5"/>
    <w:rsid w:val="00DA13FA"/>
    <w:rsid w:val="00DA14B0"/>
    <w:rsid w:val="00DA1C07"/>
    <w:rsid w:val="00DA40A5"/>
    <w:rsid w:val="00DA4553"/>
    <w:rsid w:val="00DA6DC0"/>
    <w:rsid w:val="00DA70B2"/>
    <w:rsid w:val="00DB0EED"/>
    <w:rsid w:val="00DB16BA"/>
    <w:rsid w:val="00DB18EF"/>
    <w:rsid w:val="00DB4958"/>
    <w:rsid w:val="00DB7F05"/>
    <w:rsid w:val="00DC0021"/>
    <w:rsid w:val="00DC20B3"/>
    <w:rsid w:val="00DC2157"/>
    <w:rsid w:val="00DD0A75"/>
    <w:rsid w:val="00DD2134"/>
    <w:rsid w:val="00DD3325"/>
    <w:rsid w:val="00DD3922"/>
    <w:rsid w:val="00DD5013"/>
    <w:rsid w:val="00DD6287"/>
    <w:rsid w:val="00DE268D"/>
    <w:rsid w:val="00DE2E9C"/>
    <w:rsid w:val="00DE411A"/>
    <w:rsid w:val="00DE419F"/>
    <w:rsid w:val="00DE58FD"/>
    <w:rsid w:val="00DE6A27"/>
    <w:rsid w:val="00DF3E44"/>
    <w:rsid w:val="00DF41C6"/>
    <w:rsid w:val="00DF4448"/>
    <w:rsid w:val="00DF4468"/>
    <w:rsid w:val="00DF4F6F"/>
    <w:rsid w:val="00DF5C71"/>
    <w:rsid w:val="00DF6A52"/>
    <w:rsid w:val="00E019A4"/>
    <w:rsid w:val="00E0209D"/>
    <w:rsid w:val="00E02FEE"/>
    <w:rsid w:val="00E04891"/>
    <w:rsid w:val="00E07328"/>
    <w:rsid w:val="00E1052B"/>
    <w:rsid w:val="00E15006"/>
    <w:rsid w:val="00E167F6"/>
    <w:rsid w:val="00E16D4A"/>
    <w:rsid w:val="00E1786C"/>
    <w:rsid w:val="00E17D50"/>
    <w:rsid w:val="00E17F1D"/>
    <w:rsid w:val="00E215F1"/>
    <w:rsid w:val="00E21620"/>
    <w:rsid w:val="00E21805"/>
    <w:rsid w:val="00E219D9"/>
    <w:rsid w:val="00E24403"/>
    <w:rsid w:val="00E244FC"/>
    <w:rsid w:val="00E246F3"/>
    <w:rsid w:val="00E32AEA"/>
    <w:rsid w:val="00E353DC"/>
    <w:rsid w:val="00E35A3D"/>
    <w:rsid w:val="00E35C80"/>
    <w:rsid w:val="00E36092"/>
    <w:rsid w:val="00E3690F"/>
    <w:rsid w:val="00E3707E"/>
    <w:rsid w:val="00E3733F"/>
    <w:rsid w:val="00E40434"/>
    <w:rsid w:val="00E426A6"/>
    <w:rsid w:val="00E43ED3"/>
    <w:rsid w:val="00E45694"/>
    <w:rsid w:val="00E5476F"/>
    <w:rsid w:val="00E54B81"/>
    <w:rsid w:val="00E54D40"/>
    <w:rsid w:val="00E566A3"/>
    <w:rsid w:val="00E57979"/>
    <w:rsid w:val="00E6005C"/>
    <w:rsid w:val="00E60D57"/>
    <w:rsid w:val="00E61EA3"/>
    <w:rsid w:val="00E622BA"/>
    <w:rsid w:val="00E62387"/>
    <w:rsid w:val="00E63AD8"/>
    <w:rsid w:val="00E6449C"/>
    <w:rsid w:val="00E65974"/>
    <w:rsid w:val="00E661F9"/>
    <w:rsid w:val="00E662B7"/>
    <w:rsid w:val="00E6685E"/>
    <w:rsid w:val="00E71231"/>
    <w:rsid w:val="00E71730"/>
    <w:rsid w:val="00E7177E"/>
    <w:rsid w:val="00E740E5"/>
    <w:rsid w:val="00E741B0"/>
    <w:rsid w:val="00E74F4B"/>
    <w:rsid w:val="00E7547B"/>
    <w:rsid w:val="00E77DC1"/>
    <w:rsid w:val="00E80F74"/>
    <w:rsid w:val="00E829DD"/>
    <w:rsid w:val="00E91DC5"/>
    <w:rsid w:val="00E95780"/>
    <w:rsid w:val="00E97A76"/>
    <w:rsid w:val="00EA188E"/>
    <w:rsid w:val="00EA2142"/>
    <w:rsid w:val="00EA3D46"/>
    <w:rsid w:val="00EA445F"/>
    <w:rsid w:val="00EA54C1"/>
    <w:rsid w:val="00EA6124"/>
    <w:rsid w:val="00EA6678"/>
    <w:rsid w:val="00EB1A6D"/>
    <w:rsid w:val="00EB3C3B"/>
    <w:rsid w:val="00EB5273"/>
    <w:rsid w:val="00EB5446"/>
    <w:rsid w:val="00EB577D"/>
    <w:rsid w:val="00EB6B29"/>
    <w:rsid w:val="00EB6FCD"/>
    <w:rsid w:val="00EB70D2"/>
    <w:rsid w:val="00EB7559"/>
    <w:rsid w:val="00EB7AC0"/>
    <w:rsid w:val="00EB7BDF"/>
    <w:rsid w:val="00EC0046"/>
    <w:rsid w:val="00EC276F"/>
    <w:rsid w:val="00EC356C"/>
    <w:rsid w:val="00EC3938"/>
    <w:rsid w:val="00EC47E0"/>
    <w:rsid w:val="00EC5301"/>
    <w:rsid w:val="00ED1B95"/>
    <w:rsid w:val="00ED2CE1"/>
    <w:rsid w:val="00ED5569"/>
    <w:rsid w:val="00ED5D37"/>
    <w:rsid w:val="00EE0587"/>
    <w:rsid w:val="00EE198C"/>
    <w:rsid w:val="00EE2001"/>
    <w:rsid w:val="00EE2C39"/>
    <w:rsid w:val="00EE5651"/>
    <w:rsid w:val="00EE5FAA"/>
    <w:rsid w:val="00EE6A61"/>
    <w:rsid w:val="00EF1209"/>
    <w:rsid w:val="00EF12EE"/>
    <w:rsid w:val="00EF4745"/>
    <w:rsid w:val="00EF4D23"/>
    <w:rsid w:val="00EF5B65"/>
    <w:rsid w:val="00F01650"/>
    <w:rsid w:val="00F02252"/>
    <w:rsid w:val="00F02350"/>
    <w:rsid w:val="00F02526"/>
    <w:rsid w:val="00F04535"/>
    <w:rsid w:val="00F06D6D"/>
    <w:rsid w:val="00F1017A"/>
    <w:rsid w:val="00F1153B"/>
    <w:rsid w:val="00F1163E"/>
    <w:rsid w:val="00F1189A"/>
    <w:rsid w:val="00F11EB3"/>
    <w:rsid w:val="00F12DFA"/>
    <w:rsid w:val="00F163EC"/>
    <w:rsid w:val="00F165E7"/>
    <w:rsid w:val="00F205BA"/>
    <w:rsid w:val="00F22006"/>
    <w:rsid w:val="00F22686"/>
    <w:rsid w:val="00F247A1"/>
    <w:rsid w:val="00F24F9A"/>
    <w:rsid w:val="00F26000"/>
    <w:rsid w:val="00F27399"/>
    <w:rsid w:val="00F3068C"/>
    <w:rsid w:val="00F3151E"/>
    <w:rsid w:val="00F320FA"/>
    <w:rsid w:val="00F329CE"/>
    <w:rsid w:val="00F357D5"/>
    <w:rsid w:val="00F35A50"/>
    <w:rsid w:val="00F35B62"/>
    <w:rsid w:val="00F35CC8"/>
    <w:rsid w:val="00F37D18"/>
    <w:rsid w:val="00F40308"/>
    <w:rsid w:val="00F4135F"/>
    <w:rsid w:val="00F41912"/>
    <w:rsid w:val="00F41B2F"/>
    <w:rsid w:val="00F43FAC"/>
    <w:rsid w:val="00F44C5B"/>
    <w:rsid w:val="00F45D7B"/>
    <w:rsid w:val="00F46236"/>
    <w:rsid w:val="00F47472"/>
    <w:rsid w:val="00F519B4"/>
    <w:rsid w:val="00F51A26"/>
    <w:rsid w:val="00F553F1"/>
    <w:rsid w:val="00F557AC"/>
    <w:rsid w:val="00F60A40"/>
    <w:rsid w:val="00F617D7"/>
    <w:rsid w:val="00F621DF"/>
    <w:rsid w:val="00F63725"/>
    <w:rsid w:val="00F63897"/>
    <w:rsid w:val="00F65A1F"/>
    <w:rsid w:val="00F66332"/>
    <w:rsid w:val="00F72F01"/>
    <w:rsid w:val="00F74E98"/>
    <w:rsid w:val="00F7746D"/>
    <w:rsid w:val="00F7753E"/>
    <w:rsid w:val="00F8045B"/>
    <w:rsid w:val="00F85487"/>
    <w:rsid w:val="00F855D0"/>
    <w:rsid w:val="00F87A18"/>
    <w:rsid w:val="00F87CE4"/>
    <w:rsid w:val="00F87D94"/>
    <w:rsid w:val="00F87FB0"/>
    <w:rsid w:val="00F90716"/>
    <w:rsid w:val="00F9214A"/>
    <w:rsid w:val="00F9644E"/>
    <w:rsid w:val="00FA2688"/>
    <w:rsid w:val="00FA2EAE"/>
    <w:rsid w:val="00FA3F98"/>
    <w:rsid w:val="00FA4727"/>
    <w:rsid w:val="00FA5126"/>
    <w:rsid w:val="00FA7207"/>
    <w:rsid w:val="00FB20E7"/>
    <w:rsid w:val="00FB4A91"/>
    <w:rsid w:val="00FB4ECD"/>
    <w:rsid w:val="00FB4FAD"/>
    <w:rsid w:val="00FB60AC"/>
    <w:rsid w:val="00FB640E"/>
    <w:rsid w:val="00FB787E"/>
    <w:rsid w:val="00FC4FB9"/>
    <w:rsid w:val="00FC51C0"/>
    <w:rsid w:val="00FC545C"/>
    <w:rsid w:val="00FC7C7A"/>
    <w:rsid w:val="00FD11CA"/>
    <w:rsid w:val="00FD2CC2"/>
    <w:rsid w:val="00FD5583"/>
    <w:rsid w:val="00FD58ED"/>
    <w:rsid w:val="00FD7382"/>
    <w:rsid w:val="00FD7781"/>
    <w:rsid w:val="00FE2C15"/>
    <w:rsid w:val="00FE7732"/>
    <w:rsid w:val="00FF0EBC"/>
    <w:rsid w:val="00FF0F29"/>
    <w:rsid w:val="00FF2482"/>
    <w:rsid w:val="00FF2F63"/>
    <w:rsid w:val="00FF3409"/>
    <w:rsid w:val="00FF5113"/>
    <w:rsid w:val="00FF7585"/>
    <w:rsid w:val="00FF781F"/>
    <w:rsid w:val="01040C5F"/>
    <w:rsid w:val="010C23D4"/>
    <w:rsid w:val="010E7FCD"/>
    <w:rsid w:val="01243A4C"/>
    <w:rsid w:val="013205E0"/>
    <w:rsid w:val="01351DC8"/>
    <w:rsid w:val="014B5F76"/>
    <w:rsid w:val="014F4BF8"/>
    <w:rsid w:val="016C739E"/>
    <w:rsid w:val="01924731"/>
    <w:rsid w:val="019A0BB4"/>
    <w:rsid w:val="01B606A3"/>
    <w:rsid w:val="01C57B7A"/>
    <w:rsid w:val="01D45B72"/>
    <w:rsid w:val="01F944AC"/>
    <w:rsid w:val="02152887"/>
    <w:rsid w:val="022E5CAD"/>
    <w:rsid w:val="02527427"/>
    <w:rsid w:val="025A2F24"/>
    <w:rsid w:val="025E78F9"/>
    <w:rsid w:val="028F4F0A"/>
    <w:rsid w:val="029B13D6"/>
    <w:rsid w:val="02A26A38"/>
    <w:rsid w:val="02A62F7D"/>
    <w:rsid w:val="02B22313"/>
    <w:rsid w:val="02B40E19"/>
    <w:rsid w:val="02CF7FD1"/>
    <w:rsid w:val="02DA3517"/>
    <w:rsid w:val="02DF480D"/>
    <w:rsid w:val="02EB1AF3"/>
    <w:rsid w:val="02EC02DC"/>
    <w:rsid w:val="033305E0"/>
    <w:rsid w:val="033428C3"/>
    <w:rsid w:val="034F2960"/>
    <w:rsid w:val="0354056A"/>
    <w:rsid w:val="038733F2"/>
    <w:rsid w:val="03976ABA"/>
    <w:rsid w:val="039F534F"/>
    <w:rsid w:val="03A37F5D"/>
    <w:rsid w:val="03A51497"/>
    <w:rsid w:val="03BB0AC0"/>
    <w:rsid w:val="03D104CD"/>
    <w:rsid w:val="03E87006"/>
    <w:rsid w:val="03F34463"/>
    <w:rsid w:val="041315DD"/>
    <w:rsid w:val="04204A23"/>
    <w:rsid w:val="04672503"/>
    <w:rsid w:val="047A5132"/>
    <w:rsid w:val="047E5668"/>
    <w:rsid w:val="048B4020"/>
    <w:rsid w:val="049A5B48"/>
    <w:rsid w:val="049F15A1"/>
    <w:rsid w:val="04AC40E7"/>
    <w:rsid w:val="04C33974"/>
    <w:rsid w:val="04C64570"/>
    <w:rsid w:val="04D872C7"/>
    <w:rsid w:val="04E5377F"/>
    <w:rsid w:val="04EC3F9C"/>
    <w:rsid w:val="04ED631E"/>
    <w:rsid w:val="051C6927"/>
    <w:rsid w:val="05312AA1"/>
    <w:rsid w:val="05336F80"/>
    <w:rsid w:val="05364EC9"/>
    <w:rsid w:val="05390890"/>
    <w:rsid w:val="053A36AD"/>
    <w:rsid w:val="05430DCA"/>
    <w:rsid w:val="0566238F"/>
    <w:rsid w:val="056D055F"/>
    <w:rsid w:val="05880573"/>
    <w:rsid w:val="058A2FEB"/>
    <w:rsid w:val="058F1839"/>
    <w:rsid w:val="05A05DD5"/>
    <w:rsid w:val="05A061CD"/>
    <w:rsid w:val="05A77D62"/>
    <w:rsid w:val="05B613F1"/>
    <w:rsid w:val="05D15328"/>
    <w:rsid w:val="05D23527"/>
    <w:rsid w:val="05E00B00"/>
    <w:rsid w:val="05E754C0"/>
    <w:rsid w:val="05F63AA0"/>
    <w:rsid w:val="05FF4461"/>
    <w:rsid w:val="06090D5D"/>
    <w:rsid w:val="063967FF"/>
    <w:rsid w:val="063C6D86"/>
    <w:rsid w:val="063D4B4E"/>
    <w:rsid w:val="064177BA"/>
    <w:rsid w:val="064B0C7D"/>
    <w:rsid w:val="06577F89"/>
    <w:rsid w:val="065E75A9"/>
    <w:rsid w:val="06732A97"/>
    <w:rsid w:val="06756AA6"/>
    <w:rsid w:val="06763AB5"/>
    <w:rsid w:val="067F0C04"/>
    <w:rsid w:val="068270AC"/>
    <w:rsid w:val="068A0EB1"/>
    <w:rsid w:val="069C6D78"/>
    <w:rsid w:val="06B808A3"/>
    <w:rsid w:val="06C32CE3"/>
    <w:rsid w:val="06C97B3A"/>
    <w:rsid w:val="06CB0FBA"/>
    <w:rsid w:val="06CC7715"/>
    <w:rsid w:val="06D13B48"/>
    <w:rsid w:val="06D373F6"/>
    <w:rsid w:val="06DB364E"/>
    <w:rsid w:val="06E36073"/>
    <w:rsid w:val="06EE69F7"/>
    <w:rsid w:val="06F347BA"/>
    <w:rsid w:val="07120FB7"/>
    <w:rsid w:val="07161BCC"/>
    <w:rsid w:val="072408B5"/>
    <w:rsid w:val="07347B19"/>
    <w:rsid w:val="07355ECB"/>
    <w:rsid w:val="073E2F23"/>
    <w:rsid w:val="073E31EB"/>
    <w:rsid w:val="07685A02"/>
    <w:rsid w:val="078164F7"/>
    <w:rsid w:val="078A7230"/>
    <w:rsid w:val="07B27AFF"/>
    <w:rsid w:val="07B46E19"/>
    <w:rsid w:val="07BC1FB5"/>
    <w:rsid w:val="07C20C58"/>
    <w:rsid w:val="07D303D3"/>
    <w:rsid w:val="07D65111"/>
    <w:rsid w:val="07EF377A"/>
    <w:rsid w:val="07F007E5"/>
    <w:rsid w:val="07F362EF"/>
    <w:rsid w:val="07FA6A00"/>
    <w:rsid w:val="080B73EF"/>
    <w:rsid w:val="0813594E"/>
    <w:rsid w:val="083074F5"/>
    <w:rsid w:val="0832034B"/>
    <w:rsid w:val="08455F17"/>
    <w:rsid w:val="084C2F3E"/>
    <w:rsid w:val="084D1D02"/>
    <w:rsid w:val="087145C8"/>
    <w:rsid w:val="087E1BE6"/>
    <w:rsid w:val="088A6E2E"/>
    <w:rsid w:val="089E5064"/>
    <w:rsid w:val="08C76B48"/>
    <w:rsid w:val="08CB4437"/>
    <w:rsid w:val="08E47742"/>
    <w:rsid w:val="08F67D18"/>
    <w:rsid w:val="090964F7"/>
    <w:rsid w:val="09276A4E"/>
    <w:rsid w:val="093D1675"/>
    <w:rsid w:val="093F0D49"/>
    <w:rsid w:val="093F46E9"/>
    <w:rsid w:val="095C429B"/>
    <w:rsid w:val="09641E8A"/>
    <w:rsid w:val="096A35CA"/>
    <w:rsid w:val="096D268F"/>
    <w:rsid w:val="09743084"/>
    <w:rsid w:val="09760968"/>
    <w:rsid w:val="098D3491"/>
    <w:rsid w:val="09990258"/>
    <w:rsid w:val="09AF4A39"/>
    <w:rsid w:val="09B154BD"/>
    <w:rsid w:val="09DF4FFD"/>
    <w:rsid w:val="09EE03CF"/>
    <w:rsid w:val="09F92872"/>
    <w:rsid w:val="09F932CC"/>
    <w:rsid w:val="0A017378"/>
    <w:rsid w:val="0A064EB0"/>
    <w:rsid w:val="0A0A6F26"/>
    <w:rsid w:val="0A16246A"/>
    <w:rsid w:val="0A193C90"/>
    <w:rsid w:val="0A37250F"/>
    <w:rsid w:val="0A5E5401"/>
    <w:rsid w:val="0A6F1534"/>
    <w:rsid w:val="0A7C46D2"/>
    <w:rsid w:val="0A9620FF"/>
    <w:rsid w:val="0AA11225"/>
    <w:rsid w:val="0AB46697"/>
    <w:rsid w:val="0ABE514D"/>
    <w:rsid w:val="0ABF2549"/>
    <w:rsid w:val="0ACE0B07"/>
    <w:rsid w:val="0AD05601"/>
    <w:rsid w:val="0AD27EB5"/>
    <w:rsid w:val="0AF04BDF"/>
    <w:rsid w:val="0AF16E97"/>
    <w:rsid w:val="0AF6144F"/>
    <w:rsid w:val="0B0C6F19"/>
    <w:rsid w:val="0B182915"/>
    <w:rsid w:val="0B255804"/>
    <w:rsid w:val="0B260068"/>
    <w:rsid w:val="0B2F4280"/>
    <w:rsid w:val="0B435E9F"/>
    <w:rsid w:val="0B4F3C16"/>
    <w:rsid w:val="0B565C18"/>
    <w:rsid w:val="0B5D70C3"/>
    <w:rsid w:val="0B9533D5"/>
    <w:rsid w:val="0B992CCD"/>
    <w:rsid w:val="0B9B29D9"/>
    <w:rsid w:val="0BB608E6"/>
    <w:rsid w:val="0C044030"/>
    <w:rsid w:val="0C056EED"/>
    <w:rsid w:val="0C186714"/>
    <w:rsid w:val="0C2874EA"/>
    <w:rsid w:val="0C3208B9"/>
    <w:rsid w:val="0C3D35F7"/>
    <w:rsid w:val="0C570468"/>
    <w:rsid w:val="0C7A3457"/>
    <w:rsid w:val="0C822574"/>
    <w:rsid w:val="0C9631E4"/>
    <w:rsid w:val="0CA01FFE"/>
    <w:rsid w:val="0CA8730B"/>
    <w:rsid w:val="0CAB537B"/>
    <w:rsid w:val="0CB11C34"/>
    <w:rsid w:val="0CB15322"/>
    <w:rsid w:val="0CBB7D15"/>
    <w:rsid w:val="0CC360FA"/>
    <w:rsid w:val="0CCC75A2"/>
    <w:rsid w:val="0CE71CF1"/>
    <w:rsid w:val="0CF33442"/>
    <w:rsid w:val="0CFB0AA1"/>
    <w:rsid w:val="0D002FAB"/>
    <w:rsid w:val="0D183D79"/>
    <w:rsid w:val="0D3D3508"/>
    <w:rsid w:val="0D5010D3"/>
    <w:rsid w:val="0D55619D"/>
    <w:rsid w:val="0D660E55"/>
    <w:rsid w:val="0D933EF7"/>
    <w:rsid w:val="0D975903"/>
    <w:rsid w:val="0DAB36F4"/>
    <w:rsid w:val="0DB85EF5"/>
    <w:rsid w:val="0DC1750E"/>
    <w:rsid w:val="0DCC52C4"/>
    <w:rsid w:val="0DD5091B"/>
    <w:rsid w:val="0DD729E3"/>
    <w:rsid w:val="0DFB0811"/>
    <w:rsid w:val="0DFF6638"/>
    <w:rsid w:val="0E1B43F1"/>
    <w:rsid w:val="0E447076"/>
    <w:rsid w:val="0E5D310C"/>
    <w:rsid w:val="0E5F6847"/>
    <w:rsid w:val="0E6E03BD"/>
    <w:rsid w:val="0E795A82"/>
    <w:rsid w:val="0E9827B2"/>
    <w:rsid w:val="0EA71698"/>
    <w:rsid w:val="0EA9631A"/>
    <w:rsid w:val="0EAF0553"/>
    <w:rsid w:val="0EB20F74"/>
    <w:rsid w:val="0EC61549"/>
    <w:rsid w:val="0ECF2A3E"/>
    <w:rsid w:val="0ED66F1C"/>
    <w:rsid w:val="0EDF7891"/>
    <w:rsid w:val="0F06575E"/>
    <w:rsid w:val="0F0B156A"/>
    <w:rsid w:val="0F13552C"/>
    <w:rsid w:val="0F184273"/>
    <w:rsid w:val="0F1A78D3"/>
    <w:rsid w:val="0F33100D"/>
    <w:rsid w:val="0F415AA0"/>
    <w:rsid w:val="0F5A7D67"/>
    <w:rsid w:val="0F5D08A9"/>
    <w:rsid w:val="0F661691"/>
    <w:rsid w:val="0F8D45A6"/>
    <w:rsid w:val="0F9B1548"/>
    <w:rsid w:val="0FA113E8"/>
    <w:rsid w:val="0FA436B7"/>
    <w:rsid w:val="0FBC22F4"/>
    <w:rsid w:val="0FC45C08"/>
    <w:rsid w:val="0FCF633D"/>
    <w:rsid w:val="102B4012"/>
    <w:rsid w:val="102F6973"/>
    <w:rsid w:val="10665F73"/>
    <w:rsid w:val="106C4A5B"/>
    <w:rsid w:val="10725EA2"/>
    <w:rsid w:val="10816A20"/>
    <w:rsid w:val="108D1B7B"/>
    <w:rsid w:val="10933F10"/>
    <w:rsid w:val="10A91086"/>
    <w:rsid w:val="10AC39ED"/>
    <w:rsid w:val="10AF695B"/>
    <w:rsid w:val="10B02BE1"/>
    <w:rsid w:val="10CA3A75"/>
    <w:rsid w:val="10D214D2"/>
    <w:rsid w:val="10E4234F"/>
    <w:rsid w:val="10E72947"/>
    <w:rsid w:val="11012426"/>
    <w:rsid w:val="11075C6C"/>
    <w:rsid w:val="110E6FB7"/>
    <w:rsid w:val="11187024"/>
    <w:rsid w:val="11322DBA"/>
    <w:rsid w:val="115A3162"/>
    <w:rsid w:val="1160392E"/>
    <w:rsid w:val="117E3379"/>
    <w:rsid w:val="117E3B02"/>
    <w:rsid w:val="118C30C8"/>
    <w:rsid w:val="1193394B"/>
    <w:rsid w:val="119D3D58"/>
    <w:rsid w:val="11A769D2"/>
    <w:rsid w:val="11B23B3B"/>
    <w:rsid w:val="11B96F63"/>
    <w:rsid w:val="11C62F37"/>
    <w:rsid w:val="11DD0D8F"/>
    <w:rsid w:val="11DE3D0D"/>
    <w:rsid w:val="11EC78A8"/>
    <w:rsid w:val="11F06DBB"/>
    <w:rsid w:val="11FB77AD"/>
    <w:rsid w:val="120739D9"/>
    <w:rsid w:val="120B7DFD"/>
    <w:rsid w:val="12113070"/>
    <w:rsid w:val="121218F8"/>
    <w:rsid w:val="12265FA2"/>
    <w:rsid w:val="126C5258"/>
    <w:rsid w:val="1275781E"/>
    <w:rsid w:val="1294406E"/>
    <w:rsid w:val="12E722C3"/>
    <w:rsid w:val="12F152EA"/>
    <w:rsid w:val="12F367EA"/>
    <w:rsid w:val="12F37A0E"/>
    <w:rsid w:val="12F84FA0"/>
    <w:rsid w:val="131410A4"/>
    <w:rsid w:val="131F7CA3"/>
    <w:rsid w:val="13314030"/>
    <w:rsid w:val="13335900"/>
    <w:rsid w:val="136F46FF"/>
    <w:rsid w:val="137E357A"/>
    <w:rsid w:val="13890D8C"/>
    <w:rsid w:val="13957911"/>
    <w:rsid w:val="139F2B49"/>
    <w:rsid w:val="13AF2EB8"/>
    <w:rsid w:val="13BF085A"/>
    <w:rsid w:val="13BF231A"/>
    <w:rsid w:val="13C465B2"/>
    <w:rsid w:val="13C85640"/>
    <w:rsid w:val="13C933D1"/>
    <w:rsid w:val="13CB015A"/>
    <w:rsid w:val="13D07674"/>
    <w:rsid w:val="13F04A79"/>
    <w:rsid w:val="13F659F8"/>
    <w:rsid w:val="14050E6B"/>
    <w:rsid w:val="142E14CF"/>
    <w:rsid w:val="1443363C"/>
    <w:rsid w:val="144F7918"/>
    <w:rsid w:val="14602B2A"/>
    <w:rsid w:val="14621554"/>
    <w:rsid w:val="146C719B"/>
    <w:rsid w:val="14762436"/>
    <w:rsid w:val="147F3D04"/>
    <w:rsid w:val="149326B4"/>
    <w:rsid w:val="149C791F"/>
    <w:rsid w:val="14A14D76"/>
    <w:rsid w:val="14A6678C"/>
    <w:rsid w:val="14B030AF"/>
    <w:rsid w:val="14BF38C3"/>
    <w:rsid w:val="14C433A4"/>
    <w:rsid w:val="14D42A46"/>
    <w:rsid w:val="14D71402"/>
    <w:rsid w:val="14E94BBB"/>
    <w:rsid w:val="14EB0638"/>
    <w:rsid w:val="14F16507"/>
    <w:rsid w:val="14F450CC"/>
    <w:rsid w:val="14FC51CF"/>
    <w:rsid w:val="150C1371"/>
    <w:rsid w:val="152759F6"/>
    <w:rsid w:val="15306C0C"/>
    <w:rsid w:val="15366927"/>
    <w:rsid w:val="15384BD1"/>
    <w:rsid w:val="154F2BA7"/>
    <w:rsid w:val="155A3789"/>
    <w:rsid w:val="15656065"/>
    <w:rsid w:val="156B550B"/>
    <w:rsid w:val="156F514F"/>
    <w:rsid w:val="156F76D2"/>
    <w:rsid w:val="157745B0"/>
    <w:rsid w:val="15804154"/>
    <w:rsid w:val="158146B9"/>
    <w:rsid w:val="158A4A88"/>
    <w:rsid w:val="159A286A"/>
    <w:rsid w:val="159F7216"/>
    <w:rsid w:val="15AF487B"/>
    <w:rsid w:val="15B06339"/>
    <w:rsid w:val="15BC5924"/>
    <w:rsid w:val="15BD304D"/>
    <w:rsid w:val="15D55097"/>
    <w:rsid w:val="15D60431"/>
    <w:rsid w:val="15DD1AA1"/>
    <w:rsid w:val="1607697C"/>
    <w:rsid w:val="16110428"/>
    <w:rsid w:val="162846DF"/>
    <w:rsid w:val="16494230"/>
    <w:rsid w:val="164A736E"/>
    <w:rsid w:val="164F567B"/>
    <w:rsid w:val="16532069"/>
    <w:rsid w:val="16614426"/>
    <w:rsid w:val="16651CE0"/>
    <w:rsid w:val="16730515"/>
    <w:rsid w:val="167B1B2B"/>
    <w:rsid w:val="16855FF5"/>
    <w:rsid w:val="168F572F"/>
    <w:rsid w:val="16BA3018"/>
    <w:rsid w:val="16CB72CD"/>
    <w:rsid w:val="16D26E91"/>
    <w:rsid w:val="16D56391"/>
    <w:rsid w:val="16E24862"/>
    <w:rsid w:val="16E7409B"/>
    <w:rsid w:val="16F27B87"/>
    <w:rsid w:val="170155D6"/>
    <w:rsid w:val="17152D8E"/>
    <w:rsid w:val="1716736E"/>
    <w:rsid w:val="17290007"/>
    <w:rsid w:val="172F6992"/>
    <w:rsid w:val="173132AD"/>
    <w:rsid w:val="17346D48"/>
    <w:rsid w:val="174F71CA"/>
    <w:rsid w:val="175263C1"/>
    <w:rsid w:val="175C5689"/>
    <w:rsid w:val="176D0DFC"/>
    <w:rsid w:val="178472DB"/>
    <w:rsid w:val="179417C2"/>
    <w:rsid w:val="179D5000"/>
    <w:rsid w:val="17B13D28"/>
    <w:rsid w:val="17B912B6"/>
    <w:rsid w:val="17BA76C1"/>
    <w:rsid w:val="17CB48CD"/>
    <w:rsid w:val="17CF50DB"/>
    <w:rsid w:val="17D36B2F"/>
    <w:rsid w:val="17D641C5"/>
    <w:rsid w:val="17DF27E7"/>
    <w:rsid w:val="17EE6CAB"/>
    <w:rsid w:val="17FB5142"/>
    <w:rsid w:val="181643CA"/>
    <w:rsid w:val="181B0373"/>
    <w:rsid w:val="18262C1D"/>
    <w:rsid w:val="182C2192"/>
    <w:rsid w:val="18484185"/>
    <w:rsid w:val="18515D16"/>
    <w:rsid w:val="18661CAB"/>
    <w:rsid w:val="18666BA5"/>
    <w:rsid w:val="1870617F"/>
    <w:rsid w:val="188102C2"/>
    <w:rsid w:val="18815BCF"/>
    <w:rsid w:val="18A66F29"/>
    <w:rsid w:val="18AB6CDA"/>
    <w:rsid w:val="18B00D31"/>
    <w:rsid w:val="18B41D62"/>
    <w:rsid w:val="18B90482"/>
    <w:rsid w:val="18BF4795"/>
    <w:rsid w:val="18D005AC"/>
    <w:rsid w:val="18DD75FA"/>
    <w:rsid w:val="18E12D18"/>
    <w:rsid w:val="18E52B16"/>
    <w:rsid w:val="18E63C89"/>
    <w:rsid w:val="18F0545A"/>
    <w:rsid w:val="18FB3460"/>
    <w:rsid w:val="191D2627"/>
    <w:rsid w:val="1921361B"/>
    <w:rsid w:val="19236EC7"/>
    <w:rsid w:val="192C54FC"/>
    <w:rsid w:val="19306628"/>
    <w:rsid w:val="194C62B0"/>
    <w:rsid w:val="194D63B7"/>
    <w:rsid w:val="19500817"/>
    <w:rsid w:val="195E0187"/>
    <w:rsid w:val="196056B2"/>
    <w:rsid w:val="19762008"/>
    <w:rsid w:val="197B0EE8"/>
    <w:rsid w:val="1984599D"/>
    <w:rsid w:val="198B3359"/>
    <w:rsid w:val="199B71DE"/>
    <w:rsid w:val="19B15D8B"/>
    <w:rsid w:val="19BE5C8E"/>
    <w:rsid w:val="19CE566B"/>
    <w:rsid w:val="19D34F31"/>
    <w:rsid w:val="19D616A3"/>
    <w:rsid w:val="19DA4B9D"/>
    <w:rsid w:val="19DD267A"/>
    <w:rsid w:val="19E0450C"/>
    <w:rsid w:val="19F0273E"/>
    <w:rsid w:val="19F677A5"/>
    <w:rsid w:val="19FB3FD8"/>
    <w:rsid w:val="1A03639E"/>
    <w:rsid w:val="1A06222B"/>
    <w:rsid w:val="1A093112"/>
    <w:rsid w:val="1A130BBC"/>
    <w:rsid w:val="1A203AC8"/>
    <w:rsid w:val="1A3A2923"/>
    <w:rsid w:val="1A3F149C"/>
    <w:rsid w:val="1A4A4DB2"/>
    <w:rsid w:val="1A5403CD"/>
    <w:rsid w:val="1A5A4632"/>
    <w:rsid w:val="1A5B5BD8"/>
    <w:rsid w:val="1A6361F0"/>
    <w:rsid w:val="1A696C9A"/>
    <w:rsid w:val="1A6971CC"/>
    <w:rsid w:val="1A8C575E"/>
    <w:rsid w:val="1AA41A44"/>
    <w:rsid w:val="1AAA132E"/>
    <w:rsid w:val="1AB713A1"/>
    <w:rsid w:val="1AC11FAA"/>
    <w:rsid w:val="1AD31BA2"/>
    <w:rsid w:val="1AD60CAF"/>
    <w:rsid w:val="1AEF76D7"/>
    <w:rsid w:val="1B030F99"/>
    <w:rsid w:val="1B1C5547"/>
    <w:rsid w:val="1B263234"/>
    <w:rsid w:val="1B2A1207"/>
    <w:rsid w:val="1B315D28"/>
    <w:rsid w:val="1B357B9A"/>
    <w:rsid w:val="1B4347F8"/>
    <w:rsid w:val="1B717AD2"/>
    <w:rsid w:val="1B7E0FA2"/>
    <w:rsid w:val="1B8202B4"/>
    <w:rsid w:val="1B9E7045"/>
    <w:rsid w:val="1BAE40DD"/>
    <w:rsid w:val="1BBA1BFD"/>
    <w:rsid w:val="1BD61DD7"/>
    <w:rsid w:val="1C093E67"/>
    <w:rsid w:val="1C0D341E"/>
    <w:rsid w:val="1C0D5648"/>
    <w:rsid w:val="1C10389D"/>
    <w:rsid w:val="1C142310"/>
    <w:rsid w:val="1C273BC0"/>
    <w:rsid w:val="1C2B27D3"/>
    <w:rsid w:val="1C377E11"/>
    <w:rsid w:val="1C554168"/>
    <w:rsid w:val="1C6C1119"/>
    <w:rsid w:val="1C7B3937"/>
    <w:rsid w:val="1C8C5000"/>
    <w:rsid w:val="1C8E3223"/>
    <w:rsid w:val="1CA37667"/>
    <w:rsid w:val="1CC0087C"/>
    <w:rsid w:val="1CCE3380"/>
    <w:rsid w:val="1CD10EAC"/>
    <w:rsid w:val="1CE15EB0"/>
    <w:rsid w:val="1CEF5056"/>
    <w:rsid w:val="1CFF25BE"/>
    <w:rsid w:val="1D0C15F0"/>
    <w:rsid w:val="1D0E22B5"/>
    <w:rsid w:val="1D2D3B33"/>
    <w:rsid w:val="1D315CDE"/>
    <w:rsid w:val="1D34054D"/>
    <w:rsid w:val="1D4B0484"/>
    <w:rsid w:val="1D646A28"/>
    <w:rsid w:val="1D74573D"/>
    <w:rsid w:val="1DA950A0"/>
    <w:rsid w:val="1DB20242"/>
    <w:rsid w:val="1DC374E3"/>
    <w:rsid w:val="1DC76205"/>
    <w:rsid w:val="1DCA0524"/>
    <w:rsid w:val="1DD23DEC"/>
    <w:rsid w:val="1DE2680B"/>
    <w:rsid w:val="1DEB1DBA"/>
    <w:rsid w:val="1DFA7CEB"/>
    <w:rsid w:val="1E006964"/>
    <w:rsid w:val="1E2858C4"/>
    <w:rsid w:val="1E2E2552"/>
    <w:rsid w:val="1E342697"/>
    <w:rsid w:val="1E364B66"/>
    <w:rsid w:val="1E414999"/>
    <w:rsid w:val="1E426EBA"/>
    <w:rsid w:val="1E535308"/>
    <w:rsid w:val="1E5E2109"/>
    <w:rsid w:val="1E667D46"/>
    <w:rsid w:val="1E694368"/>
    <w:rsid w:val="1E6F0095"/>
    <w:rsid w:val="1E7E1FDA"/>
    <w:rsid w:val="1E8A044C"/>
    <w:rsid w:val="1E8E1DA3"/>
    <w:rsid w:val="1EAF221D"/>
    <w:rsid w:val="1EB1426A"/>
    <w:rsid w:val="1EBE32AA"/>
    <w:rsid w:val="1EDA100A"/>
    <w:rsid w:val="1EDB2397"/>
    <w:rsid w:val="1EEA4011"/>
    <w:rsid w:val="1EEB2951"/>
    <w:rsid w:val="1EEB7011"/>
    <w:rsid w:val="1EEE5D3E"/>
    <w:rsid w:val="1EF57411"/>
    <w:rsid w:val="1F0311BC"/>
    <w:rsid w:val="1F162321"/>
    <w:rsid w:val="1F361847"/>
    <w:rsid w:val="1F4016FC"/>
    <w:rsid w:val="1F4137B5"/>
    <w:rsid w:val="1F701BA1"/>
    <w:rsid w:val="1F8460B4"/>
    <w:rsid w:val="1F9152BF"/>
    <w:rsid w:val="1FA86EA5"/>
    <w:rsid w:val="1FB75A30"/>
    <w:rsid w:val="1FC176C3"/>
    <w:rsid w:val="1FE9248B"/>
    <w:rsid w:val="2012308D"/>
    <w:rsid w:val="2035016D"/>
    <w:rsid w:val="20387FA4"/>
    <w:rsid w:val="203D598D"/>
    <w:rsid w:val="203F3D69"/>
    <w:rsid w:val="204A7971"/>
    <w:rsid w:val="205511A8"/>
    <w:rsid w:val="20582A4C"/>
    <w:rsid w:val="20662E9F"/>
    <w:rsid w:val="207C761E"/>
    <w:rsid w:val="208D3236"/>
    <w:rsid w:val="20BC3B50"/>
    <w:rsid w:val="20BF6528"/>
    <w:rsid w:val="20D612B5"/>
    <w:rsid w:val="20E829E6"/>
    <w:rsid w:val="21034B99"/>
    <w:rsid w:val="211B1133"/>
    <w:rsid w:val="21263F88"/>
    <w:rsid w:val="216424F1"/>
    <w:rsid w:val="21713622"/>
    <w:rsid w:val="217709DA"/>
    <w:rsid w:val="218C1273"/>
    <w:rsid w:val="218D1613"/>
    <w:rsid w:val="219F1009"/>
    <w:rsid w:val="21C3260F"/>
    <w:rsid w:val="21D60C87"/>
    <w:rsid w:val="21DF0E7B"/>
    <w:rsid w:val="21F65A68"/>
    <w:rsid w:val="220112C7"/>
    <w:rsid w:val="220A6D3A"/>
    <w:rsid w:val="221F0947"/>
    <w:rsid w:val="222E25C0"/>
    <w:rsid w:val="22300F41"/>
    <w:rsid w:val="22452906"/>
    <w:rsid w:val="22552B73"/>
    <w:rsid w:val="22676C72"/>
    <w:rsid w:val="22732317"/>
    <w:rsid w:val="22766000"/>
    <w:rsid w:val="22810CA7"/>
    <w:rsid w:val="228A4519"/>
    <w:rsid w:val="22CD28A9"/>
    <w:rsid w:val="22FD39A9"/>
    <w:rsid w:val="23006C21"/>
    <w:rsid w:val="230E7105"/>
    <w:rsid w:val="232A45A6"/>
    <w:rsid w:val="23443E73"/>
    <w:rsid w:val="234D3F12"/>
    <w:rsid w:val="235475BF"/>
    <w:rsid w:val="2361705A"/>
    <w:rsid w:val="236F23A1"/>
    <w:rsid w:val="23700BFE"/>
    <w:rsid w:val="23714C6E"/>
    <w:rsid w:val="237B11AB"/>
    <w:rsid w:val="238643BB"/>
    <w:rsid w:val="23A91219"/>
    <w:rsid w:val="23A971A5"/>
    <w:rsid w:val="23BB5121"/>
    <w:rsid w:val="23BD1220"/>
    <w:rsid w:val="23C345DB"/>
    <w:rsid w:val="23D07BF2"/>
    <w:rsid w:val="23D7732A"/>
    <w:rsid w:val="23F901A0"/>
    <w:rsid w:val="24042C83"/>
    <w:rsid w:val="240B1E5A"/>
    <w:rsid w:val="240B4BD6"/>
    <w:rsid w:val="241767AF"/>
    <w:rsid w:val="243A087C"/>
    <w:rsid w:val="243C158F"/>
    <w:rsid w:val="245A3A48"/>
    <w:rsid w:val="247D1910"/>
    <w:rsid w:val="24820F5E"/>
    <w:rsid w:val="2490512E"/>
    <w:rsid w:val="24AB30CA"/>
    <w:rsid w:val="24BE7193"/>
    <w:rsid w:val="24CF1CD2"/>
    <w:rsid w:val="24D6058E"/>
    <w:rsid w:val="24D90EB5"/>
    <w:rsid w:val="24DB0D8A"/>
    <w:rsid w:val="24DD0F3B"/>
    <w:rsid w:val="24E560EB"/>
    <w:rsid w:val="24FE4172"/>
    <w:rsid w:val="250038DE"/>
    <w:rsid w:val="250C0130"/>
    <w:rsid w:val="25196152"/>
    <w:rsid w:val="251C2736"/>
    <w:rsid w:val="253D4215"/>
    <w:rsid w:val="257C5D59"/>
    <w:rsid w:val="257E7FD8"/>
    <w:rsid w:val="258454C6"/>
    <w:rsid w:val="25945542"/>
    <w:rsid w:val="25A86F96"/>
    <w:rsid w:val="25C57DCA"/>
    <w:rsid w:val="25E603D9"/>
    <w:rsid w:val="26047436"/>
    <w:rsid w:val="261109D9"/>
    <w:rsid w:val="261E2A88"/>
    <w:rsid w:val="2627608D"/>
    <w:rsid w:val="26347509"/>
    <w:rsid w:val="26423D34"/>
    <w:rsid w:val="264C0692"/>
    <w:rsid w:val="2651738E"/>
    <w:rsid w:val="267A3A7C"/>
    <w:rsid w:val="267D58F9"/>
    <w:rsid w:val="26892B34"/>
    <w:rsid w:val="269E5AA5"/>
    <w:rsid w:val="269F7705"/>
    <w:rsid w:val="26A67144"/>
    <w:rsid w:val="26B065F6"/>
    <w:rsid w:val="26C12CCF"/>
    <w:rsid w:val="26D47BD2"/>
    <w:rsid w:val="26FD3DD3"/>
    <w:rsid w:val="26FD5012"/>
    <w:rsid w:val="270116D3"/>
    <w:rsid w:val="270118B9"/>
    <w:rsid w:val="270C040F"/>
    <w:rsid w:val="271B131C"/>
    <w:rsid w:val="27340B06"/>
    <w:rsid w:val="273C0528"/>
    <w:rsid w:val="273D6561"/>
    <w:rsid w:val="27415F10"/>
    <w:rsid w:val="274F0749"/>
    <w:rsid w:val="27555BFC"/>
    <w:rsid w:val="27584A45"/>
    <w:rsid w:val="27671143"/>
    <w:rsid w:val="27672AF6"/>
    <w:rsid w:val="276F6CC7"/>
    <w:rsid w:val="277950EC"/>
    <w:rsid w:val="277F0151"/>
    <w:rsid w:val="27877B25"/>
    <w:rsid w:val="278E4A13"/>
    <w:rsid w:val="279636C8"/>
    <w:rsid w:val="27B37259"/>
    <w:rsid w:val="27C221DB"/>
    <w:rsid w:val="27DF247F"/>
    <w:rsid w:val="27E178B2"/>
    <w:rsid w:val="27E76F90"/>
    <w:rsid w:val="27EF45EF"/>
    <w:rsid w:val="28001A44"/>
    <w:rsid w:val="28173BF9"/>
    <w:rsid w:val="281D1793"/>
    <w:rsid w:val="28276F8F"/>
    <w:rsid w:val="282E755C"/>
    <w:rsid w:val="2832650C"/>
    <w:rsid w:val="283961CC"/>
    <w:rsid w:val="283E2B75"/>
    <w:rsid w:val="284122F9"/>
    <w:rsid w:val="28474507"/>
    <w:rsid w:val="28620204"/>
    <w:rsid w:val="2865702D"/>
    <w:rsid w:val="28671D4D"/>
    <w:rsid w:val="28763103"/>
    <w:rsid w:val="287E10E3"/>
    <w:rsid w:val="288B4318"/>
    <w:rsid w:val="28992E0F"/>
    <w:rsid w:val="28AB4B1E"/>
    <w:rsid w:val="28AD73F2"/>
    <w:rsid w:val="28DE104D"/>
    <w:rsid w:val="28ED3055"/>
    <w:rsid w:val="28F518E9"/>
    <w:rsid w:val="28FB7011"/>
    <w:rsid w:val="29064777"/>
    <w:rsid w:val="293D08DD"/>
    <w:rsid w:val="29450A94"/>
    <w:rsid w:val="2946107F"/>
    <w:rsid w:val="29505EA9"/>
    <w:rsid w:val="295418B0"/>
    <w:rsid w:val="295A2476"/>
    <w:rsid w:val="295C60DD"/>
    <w:rsid w:val="297522B7"/>
    <w:rsid w:val="29795877"/>
    <w:rsid w:val="298011DE"/>
    <w:rsid w:val="29813BC1"/>
    <w:rsid w:val="29C11C0D"/>
    <w:rsid w:val="29C965C5"/>
    <w:rsid w:val="2A111BA5"/>
    <w:rsid w:val="2A1C29AA"/>
    <w:rsid w:val="2A2B6962"/>
    <w:rsid w:val="2A491BE5"/>
    <w:rsid w:val="2A6955A4"/>
    <w:rsid w:val="2A6E5995"/>
    <w:rsid w:val="2A9D3143"/>
    <w:rsid w:val="2AA76C5A"/>
    <w:rsid w:val="2AAE5036"/>
    <w:rsid w:val="2AD61EF1"/>
    <w:rsid w:val="2AF15056"/>
    <w:rsid w:val="2B083A0C"/>
    <w:rsid w:val="2B08586F"/>
    <w:rsid w:val="2B100C5F"/>
    <w:rsid w:val="2B183B7F"/>
    <w:rsid w:val="2B196CDA"/>
    <w:rsid w:val="2B1F2099"/>
    <w:rsid w:val="2B1F555C"/>
    <w:rsid w:val="2B21374C"/>
    <w:rsid w:val="2B4A486F"/>
    <w:rsid w:val="2B592712"/>
    <w:rsid w:val="2B5A523A"/>
    <w:rsid w:val="2B5F0862"/>
    <w:rsid w:val="2B6528B4"/>
    <w:rsid w:val="2B720D0E"/>
    <w:rsid w:val="2B7D5491"/>
    <w:rsid w:val="2B800392"/>
    <w:rsid w:val="2B8046C7"/>
    <w:rsid w:val="2B833122"/>
    <w:rsid w:val="2B891DCE"/>
    <w:rsid w:val="2B972F8C"/>
    <w:rsid w:val="2BA12131"/>
    <w:rsid w:val="2BA32AEE"/>
    <w:rsid w:val="2BA37986"/>
    <w:rsid w:val="2BA46F92"/>
    <w:rsid w:val="2BA6781D"/>
    <w:rsid w:val="2BC26A5D"/>
    <w:rsid w:val="2BDC6A5B"/>
    <w:rsid w:val="2BE73581"/>
    <w:rsid w:val="2C03385A"/>
    <w:rsid w:val="2C085F30"/>
    <w:rsid w:val="2C0916E2"/>
    <w:rsid w:val="2C103ABD"/>
    <w:rsid w:val="2C2D347A"/>
    <w:rsid w:val="2C3124A1"/>
    <w:rsid w:val="2C312529"/>
    <w:rsid w:val="2C3C6C96"/>
    <w:rsid w:val="2C4327E7"/>
    <w:rsid w:val="2C555A68"/>
    <w:rsid w:val="2C6440E4"/>
    <w:rsid w:val="2C6F377D"/>
    <w:rsid w:val="2C7805AC"/>
    <w:rsid w:val="2C8F41DE"/>
    <w:rsid w:val="2C9C1E21"/>
    <w:rsid w:val="2CA323C0"/>
    <w:rsid w:val="2CB45E2D"/>
    <w:rsid w:val="2CCB09C2"/>
    <w:rsid w:val="2CCB6EA9"/>
    <w:rsid w:val="2CD34C8E"/>
    <w:rsid w:val="2CE3592B"/>
    <w:rsid w:val="2CE445B4"/>
    <w:rsid w:val="2CF52E9C"/>
    <w:rsid w:val="2D1477FD"/>
    <w:rsid w:val="2D6162CC"/>
    <w:rsid w:val="2D673D2A"/>
    <w:rsid w:val="2D743714"/>
    <w:rsid w:val="2D863979"/>
    <w:rsid w:val="2DA67417"/>
    <w:rsid w:val="2DC66AB7"/>
    <w:rsid w:val="2DD72BAF"/>
    <w:rsid w:val="2DF00211"/>
    <w:rsid w:val="2DF1795B"/>
    <w:rsid w:val="2E037F48"/>
    <w:rsid w:val="2E2F5262"/>
    <w:rsid w:val="2E3C46DA"/>
    <w:rsid w:val="2E6C6FBE"/>
    <w:rsid w:val="2E850723"/>
    <w:rsid w:val="2E8603A5"/>
    <w:rsid w:val="2E9C51F6"/>
    <w:rsid w:val="2EA303A5"/>
    <w:rsid w:val="2EA82456"/>
    <w:rsid w:val="2EC62F0D"/>
    <w:rsid w:val="2ECB677F"/>
    <w:rsid w:val="2ED319AA"/>
    <w:rsid w:val="2EE969F8"/>
    <w:rsid w:val="2EEC2FA1"/>
    <w:rsid w:val="2F1559B6"/>
    <w:rsid w:val="2F5418DF"/>
    <w:rsid w:val="2F76179A"/>
    <w:rsid w:val="2F7B3355"/>
    <w:rsid w:val="2F7E726B"/>
    <w:rsid w:val="2F92047C"/>
    <w:rsid w:val="2F961E20"/>
    <w:rsid w:val="2F9E604E"/>
    <w:rsid w:val="2FA76E14"/>
    <w:rsid w:val="2FB120F1"/>
    <w:rsid w:val="2FC5068B"/>
    <w:rsid w:val="2FDB6490"/>
    <w:rsid w:val="2FDD56F7"/>
    <w:rsid w:val="2FDE2CE8"/>
    <w:rsid w:val="2FE33820"/>
    <w:rsid w:val="2FE34215"/>
    <w:rsid w:val="2FE6456B"/>
    <w:rsid w:val="2FEC6F99"/>
    <w:rsid w:val="2FFA360C"/>
    <w:rsid w:val="30136016"/>
    <w:rsid w:val="30277562"/>
    <w:rsid w:val="302C6627"/>
    <w:rsid w:val="303D10F6"/>
    <w:rsid w:val="303E5012"/>
    <w:rsid w:val="304029AF"/>
    <w:rsid w:val="30402F99"/>
    <w:rsid w:val="30463A48"/>
    <w:rsid w:val="30505B50"/>
    <w:rsid w:val="305F2B58"/>
    <w:rsid w:val="305F3074"/>
    <w:rsid w:val="30763BD1"/>
    <w:rsid w:val="30850C63"/>
    <w:rsid w:val="308D668C"/>
    <w:rsid w:val="30982286"/>
    <w:rsid w:val="30A02252"/>
    <w:rsid w:val="30AB2367"/>
    <w:rsid w:val="30CA4734"/>
    <w:rsid w:val="30CE5334"/>
    <w:rsid w:val="30F0105E"/>
    <w:rsid w:val="31016524"/>
    <w:rsid w:val="31050E55"/>
    <w:rsid w:val="310E26D3"/>
    <w:rsid w:val="312978CB"/>
    <w:rsid w:val="312E5179"/>
    <w:rsid w:val="313055AB"/>
    <w:rsid w:val="31327C31"/>
    <w:rsid w:val="3133286D"/>
    <w:rsid w:val="31432228"/>
    <w:rsid w:val="3144324D"/>
    <w:rsid w:val="31490EA7"/>
    <w:rsid w:val="314D2A34"/>
    <w:rsid w:val="314E159F"/>
    <w:rsid w:val="31554E5B"/>
    <w:rsid w:val="315D7E8C"/>
    <w:rsid w:val="31811A9C"/>
    <w:rsid w:val="319B2BFA"/>
    <w:rsid w:val="31AA6394"/>
    <w:rsid w:val="31C225CD"/>
    <w:rsid w:val="31C56648"/>
    <w:rsid w:val="31CB7634"/>
    <w:rsid w:val="31D42D15"/>
    <w:rsid w:val="31DA03C4"/>
    <w:rsid w:val="31DE2C2A"/>
    <w:rsid w:val="31E37E44"/>
    <w:rsid w:val="31F135A9"/>
    <w:rsid w:val="320057DE"/>
    <w:rsid w:val="320258D9"/>
    <w:rsid w:val="321E58D0"/>
    <w:rsid w:val="322C3CB1"/>
    <w:rsid w:val="322D6894"/>
    <w:rsid w:val="32367316"/>
    <w:rsid w:val="323D4A56"/>
    <w:rsid w:val="32564931"/>
    <w:rsid w:val="326C1E62"/>
    <w:rsid w:val="32A77B9E"/>
    <w:rsid w:val="32B27667"/>
    <w:rsid w:val="32B83230"/>
    <w:rsid w:val="32B87312"/>
    <w:rsid w:val="32C2019E"/>
    <w:rsid w:val="32C74310"/>
    <w:rsid w:val="32EA48F6"/>
    <w:rsid w:val="32F038D0"/>
    <w:rsid w:val="32FF7EFF"/>
    <w:rsid w:val="330869CE"/>
    <w:rsid w:val="33106414"/>
    <w:rsid w:val="33152510"/>
    <w:rsid w:val="33187458"/>
    <w:rsid w:val="331D06D6"/>
    <w:rsid w:val="332926DE"/>
    <w:rsid w:val="332F6B0E"/>
    <w:rsid w:val="333A6114"/>
    <w:rsid w:val="336166C5"/>
    <w:rsid w:val="337D2676"/>
    <w:rsid w:val="337F08A4"/>
    <w:rsid w:val="338316EE"/>
    <w:rsid w:val="33B9257C"/>
    <w:rsid w:val="33BD4689"/>
    <w:rsid w:val="33CE4429"/>
    <w:rsid w:val="33CF7A57"/>
    <w:rsid w:val="33D407BE"/>
    <w:rsid w:val="33D974B7"/>
    <w:rsid w:val="33DD4FA1"/>
    <w:rsid w:val="33F009D4"/>
    <w:rsid w:val="34160775"/>
    <w:rsid w:val="341705A1"/>
    <w:rsid w:val="34193E83"/>
    <w:rsid w:val="341E3ACD"/>
    <w:rsid w:val="3424650E"/>
    <w:rsid w:val="343175B2"/>
    <w:rsid w:val="34473DB9"/>
    <w:rsid w:val="34570157"/>
    <w:rsid w:val="346B48A5"/>
    <w:rsid w:val="346E142A"/>
    <w:rsid w:val="34764293"/>
    <w:rsid w:val="34891C7E"/>
    <w:rsid w:val="348D3AA7"/>
    <w:rsid w:val="34A467D6"/>
    <w:rsid w:val="34B032AF"/>
    <w:rsid w:val="34BB0381"/>
    <w:rsid w:val="34CB39DB"/>
    <w:rsid w:val="34D44F8F"/>
    <w:rsid w:val="34DF386C"/>
    <w:rsid w:val="350010EA"/>
    <w:rsid w:val="35021DB7"/>
    <w:rsid w:val="351705A2"/>
    <w:rsid w:val="352C2E78"/>
    <w:rsid w:val="35301C7A"/>
    <w:rsid w:val="3534756A"/>
    <w:rsid w:val="353911B9"/>
    <w:rsid w:val="353E0266"/>
    <w:rsid w:val="355316FF"/>
    <w:rsid w:val="356E1369"/>
    <w:rsid w:val="357277D1"/>
    <w:rsid w:val="35753A59"/>
    <w:rsid w:val="35904061"/>
    <w:rsid w:val="359842B4"/>
    <w:rsid w:val="359B36C0"/>
    <w:rsid w:val="35A023C4"/>
    <w:rsid w:val="35A84495"/>
    <w:rsid w:val="35B249D2"/>
    <w:rsid w:val="35CE2676"/>
    <w:rsid w:val="35D92722"/>
    <w:rsid w:val="35F85108"/>
    <w:rsid w:val="35FE73CD"/>
    <w:rsid w:val="362723EB"/>
    <w:rsid w:val="36374B56"/>
    <w:rsid w:val="364C725D"/>
    <w:rsid w:val="36531166"/>
    <w:rsid w:val="365C0DE6"/>
    <w:rsid w:val="36747720"/>
    <w:rsid w:val="3675727E"/>
    <w:rsid w:val="36904D3F"/>
    <w:rsid w:val="36923E22"/>
    <w:rsid w:val="36C954D7"/>
    <w:rsid w:val="36D04F7E"/>
    <w:rsid w:val="36F4208E"/>
    <w:rsid w:val="36F5709C"/>
    <w:rsid w:val="37040D59"/>
    <w:rsid w:val="370B06B2"/>
    <w:rsid w:val="37437A07"/>
    <w:rsid w:val="37496625"/>
    <w:rsid w:val="37620AE1"/>
    <w:rsid w:val="37621D43"/>
    <w:rsid w:val="376576F8"/>
    <w:rsid w:val="37717A04"/>
    <w:rsid w:val="37727565"/>
    <w:rsid w:val="377A6DAE"/>
    <w:rsid w:val="378F70C5"/>
    <w:rsid w:val="37995D7F"/>
    <w:rsid w:val="37A2570B"/>
    <w:rsid w:val="37B22F36"/>
    <w:rsid w:val="37E713E1"/>
    <w:rsid w:val="37EA47E0"/>
    <w:rsid w:val="37F3473D"/>
    <w:rsid w:val="38013B95"/>
    <w:rsid w:val="38062EE6"/>
    <w:rsid w:val="38231844"/>
    <w:rsid w:val="384D2D8F"/>
    <w:rsid w:val="384E744E"/>
    <w:rsid w:val="385F7203"/>
    <w:rsid w:val="386E4385"/>
    <w:rsid w:val="38B71450"/>
    <w:rsid w:val="38CE4B98"/>
    <w:rsid w:val="38CF3B86"/>
    <w:rsid w:val="390D4256"/>
    <w:rsid w:val="39135581"/>
    <w:rsid w:val="3920156C"/>
    <w:rsid w:val="39300D3A"/>
    <w:rsid w:val="3938709C"/>
    <w:rsid w:val="395610EA"/>
    <w:rsid w:val="397077AE"/>
    <w:rsid w:val="39811122"/>
    <w:rsid w:val="399F5B3C"/>
    <w:rsid w:val="39A214CC"/>
    <w:rsid w:val="39B50E08"/>
    <w:rsid w:val="39C40A3C"/>
    <w:rsid w:val="39E71194"/>
    <w:rsid w:val="39EA47C8"/>
    <w:rsid w:val="39FA11DB"/>
    <w:rsid w:val="3A2419A4"/>
    <w:rsid w:val="3A440265"/>
    <w:rsid w:val="3A4E284D"/>
    <w:rsid w:val="3A4E3E30"/>
    <w:rsid w:val="3A6632E1"/>
    <w:rsid w:val="3A9A2C9C"/>
    <w:rsid w:val="3A9A4EFB"/>
    <w:rsid w:val="3AA421CC"/>
    <w:rsid w:val="3AA60649"/>
    <w:rsid w:val="3AAB6055"/>
    <w:rsid w:val="3AAC79C0"/>
    <w:rsid w:val="3AAE76F2"/>
    <w:rsid w:val="3AB11D64"/>
    <w:rsid w:val="3AC24E14"/>
    <w:rsid w:val="3ACE7038"/>
    <w:rsid w:val="3AD34567"/>
    <w:rsid w:val="3ADC274C"/>
    <w:rsid w:val="3AF23992"/>
    <w:rsid w:val="3AFC3085"/>
    <w:rsid w:val="3B0356CF"/>
    <w:rsid w:val="3B06442B"/>
    <w:rsid w:val="3B0A19B6"/>
    <w:rsid w:val="3B124108"/>
    <w:rsid w:val="3B16444B"/>
    <w:rsid w:val="3B232740"/>
    <w:rsid w:val="3B286484"/>
    <w:rsid w:val="3B321509"/>
    <w:rsid w:val="3B3D6FB2"/>
    <w:rsid w:val="3B455B9A"/>
    <w:rsid w:val="3B4C22DF"/>
    <w:rsid w:val="3B540D79"/>
    <w:rsid w:val="3B6A77A6"/>
    <w:rsid w:val="3B6F0F52"/>
    <w:rsid w:val="3B762CE8"/>
    <w:rsid w:val="3B764932"/>
    <w:rsid w:val="3B7C64A6"/>
    <w:rsid w:val="3B7D3597"/>
    <w:rsid w:val="3B814B41"/>
    <w:rsid w:val="3B8236FC"/>
    <w:rsid w:val="3B9044A2"/>
    <w:rsid w:val="3B9945EB"/>
    <w:rsid w:val="3BBE54FC"/>
    <w:rsid w:val="3BE60387"/>
    <w:rsid w:val="3BE74F0F"/>
    <w:rsid w:val="3BF45D0F"/>
    <w:rsid w:val="3C0D1EAF"/>
    <w:rsid w:val="3C0E4399"/>
    <w:rsid w:val="3C107964"/>
    <w:rsid w:val="3C5A2930"/>
    <w:rsid w:val="3C705C07"/>
    <w:rsid w:val="3C722C08"/>
    <w:rsid w:val="3C75645D"/>
    <w:rsid w:val="3C852FE2"/>
    <w:rsid w:val="3C8C616C"/>
    <w:rsid w:val="3C9757C4"/>
    <w:rsid w:val="3C9C2EC1"/>
    <w:rsid w:val="3C9F5CF4"/>
    <w:rsid w:val="3CC713D2"/>
    <w:rsid w:val="3CC900BE"/>
    <w:rsid w:val="3CCE18B9"/>
    <w:rsid w:val="3CDF3506"/>
    <w:rsid w:val="3CE01BAC"/>
    <w:rsid w:val="3CE53FFB"/>
    <w:rsid w:val="3CF913D1"/>
    <w:rsid w:val="3CFD1F36"/>
    <w:rsid w:val="3D172CFD"/>
    <w:rsid w:val="3D212D5D"/>
    <w:rsid w:val="3D3A3084"/>
    <w:rsid w:val="3D52464E"/>
    <w:rsid w:val="3D5C2893"/>
    <w:rsid w:val="3D602116"/>
    <w:rsid w:val="3D660FEE"/>
    <w:rsid w:val="3D6A3038"/>
    <w:rsid w:val="3D8468C5"/>
    <w:rsid w:val="3D885637"/>
    <w:rsid w:val="3DA26916"/>
    <w:rsid w:val="3DAA4F57"/>
    <w:rsid w:val="3DAB640D"/>
    <w:rsid w:val="3DB33487"/>
    <w:rsid w:val="3DC3260A"/>
    <w:rsid w:val="3DCC3EF6"/>
    <w:rsid w:val="3DEB0D01"/>
    <w:rsid w:val="3DFC44D6"/>
    <w:rsid w:val="3DFD5D0B"/>
    <w:rsid w:val="3E087688"/>
    <w:rsid w:val="3E0C3D27"/>
    <w:rsid w:val="3E212FC1"/>
    <w:rsid w:val="3E232ECF"/>
    <w:rsid w:val="3E311AB3"/>
    <w:rsid w:val="3E4461DC"/>
    <w:rsid w:val="3E4B6B34"/>
    <w:rsid w:val="3E4D233C"/>
    <w:rsid w:val="3E5120DE"/>
    <w:rsid w:val="3E580262"/>
    <w:rsid w:val="3E5C704B"/>
    <w:rsid w:val="3E611495"/>
    <w:rsid w:val="3E7975CB"/>
    <w:rsid w:val="3E7B338E"/>
    <w:rsid w:val="3E822EEB"/>
    <w:rsid w:val="3E866836"/>
    <w:rsid w:val="3E991EF3"/>
    <w:rsid w:val="3EA42651"/>
    <w:rsid w:val="3EA530F9"/>
    <w:rsid w:val="3EAC53CE"/>
    <w:rsid w:val="3EB45F37"/>
    <w:rsid w:val="3EBE2FD0"/>
    <w:rsid w:val="3ECF20EE"/>
    <w:rsid w:val="3EE736F6"/>
    <w:rsid w:val="3EF75E9B"/>
    <w:rsid w:val="3EFB728C"/>
    <w:rsid w:val="3EFF1BA4"/>
    <w:rsid w:val="3F021360"/>
    <w:rsid w:val="3F2125D9"/>
    <w:rsid w:val="3F2C21A6"/>
    <w:rsid w:val="3F381BF8"/>
    <w:rsid w:val="3F396FD3"/>
    <w:rsid w:val="3F41175E"/>
    <w:rsid w:val="3F5B3201"/>
    <w:rsid w:val="3F6E5339"/>
    <w:rsid w:val="3F7709D0"/>
    <w:rsid w:val="3F88227D"/>
    <w:rsid w:val="3FB90CF1"/>
    <w:rsid w:val="3FBA3C6F"/>
    <w:rsid w:val="3FBD3601"/>
    <w:rsid w:val="3FDC7FF3"/>
    <w:rsid w:val="3FDF4FF5"/>
    <w:rsid w:val="3FE05AE1"/>
    <w:rsid w:val="3FED2303"/>
    <w:rsid w:val="3FFC653F"/>
    <w:rsid w:val="3FFD4C0A"/>
    <w:rsid w:val="40063436"/>
    <w:rsid w:val="40175580"/>
    <w:rsid w:val="401D66E2"/>
    <w:rsid w:val="40245489"/>
    <w:rsid w:val="40307BD3"/>
    <w:rsid w:val="40362778"/>
    <w:rsid w:val="404A4C84"/>
    <w:rsid w:val="4051555F"/>
    <w:rsid w:val="405605FB"/>
    <w:rsid w:val="40612437"/>
    <w:rsid w:val="406E73FA"/>
    <w:rsid w:val="40722C00"/>
    <w:rsid w:val="407A258E"/>
    <w:rsid w:val="40853C15"/>
    <w:rsid w:val="40854649"/>
    <w:rsid w:val="408A79F2"/>
    <w:rsid w:val="40903389"/>
    <w:rsid w:val="40906594"/>
    <w:rsid w:val="40946BAA"/>
    <w:rsid w:val="40996088"/>
    <w:rsid w:val="40A7550D"/>
    <w:rsid w:val="40CB4267"/>
    <w:rsid w:val="40F8754D"/>
    <w:rsid w:val="410224F6"/>
    <w:rsid w:val="41063A2E"/>
    <w:rsid w:val="41202935"/>
    <w:rsid w:val="412B168A"/>
    <w:rsid w:val="413B1198"/>
    <w:rsid w:val="41461379"/>
    <w:rsid w:val="41557272"/>
    <w:rsid w:val="4176504F"/>
    <w:rsid w:val="41800A5D"/>
    <w:rsid w:val="418B4743"/>
    <w:rsid w:val="41A52603"/>
    <w:rsid w:val="41B012E1"/>
    <w:rsid w:val="41CC3726"/>
    <w:rsid w:val="41EC0457"/>
    <w:rsid w:val="420B3EB6"/>
    <w:rsid w:val="420C0F6E"/>
    <w:rsid w:val="42191283"/>
    <w:rsid w:val="421A2C83"/>
    <w:rsid w:val="42276ED5"/>
    <w:rsid w:val="422F3B1A"/>
    <w:rsid w:val="424A213A"/>
    <w:rsid w:val="424D2884"/>
    <w:rsid w:val="42807D5E"/>
    <w:rsid w:val="4281364A"/>
    <w:rsid w:val="428269C4"/>
    <w:rsid w:val="429B77AD"/>
    <w:rsid w:val="429C3F98"/>
    <w:rsid w:val="429F6A01"/>
    <w:rsid w:val="42A218EC"/>
    <w:rsid w:val="42B0310F"/>
    <w:rsid w:val="42B809FA"/>
    <w:rsid w:val="42C22DF9"/>
    <w:rsid w:val="42CB5930"/>
    <w:rsid w:val="42D11F8A"/>
    <w:rsid w:val="42D53B15"/>
    <w:rsid w:val="42D87402"/>
    <w:rsid w:val="42DA324D"/>
    <w:rsid w:val="42DC31F7"/>
    <w:rsid w:val="42E52CF5"/>
    <w:rsid w:val="42E9746D"/>
    <w:rsid w:val="42EA532A"/>
    <w:rsid w:val="430A0A58"/>
    <w:rsid w:val="432D6059"/>
    <w:rsid w:val="43354C80"/>
    <w:rsid w:val="433B73A9"/>
    <w:rsid w:val="4340770F"/>
    <w:rsid w:val="43475A0D"/>
    <w:rsid w:val="434955F8"/>
    <w:rsid w:val="4357042E"/>
    <w:rsid w:val="436239D7"/>
    <w:rsid w:val="43662690"/>
    <w:rsid w:val="4377257D"/>
    <w:rsid w:val="437F739A"/>
    <w:rsid w:val="438051A3"/>
    <w:rsid w:val="43857BBE"/>
    <w:rsid w:val="43986E02"/>
    <w:rsid w:val="439C0C60"/>
    <w:rsid w:val="43A90D96"/>
    <w:rsid w:val="43B01B81"/>
    <w:rsid w:val="43BC5BBE"/>
    <w:rsid w:val="43C04491"/>
    <w:rsid w:val="43CC7317"/>
    <w:rsid w:val="43D7552A"/>
    <w:rsid w:val="43E4292F"/>
    <w:rsid w:val="44094C9C"/>
    <w:rsid w:val="44265577"/>
    <w:rsid w:val="44285E56"/>
    <w:rsid w:val="443365B6"/>
    <w:rsid w:val="4437149F"/>
    <w:rsid w:val="44394D2D"/>
    <w:rsid w:val="44464B64"/>
    <w:rsid w:val="44470B19"/>
    <w:rsid w:val="4447502C"/>
    <w:rsid w:val="444874BC"/>
    <w:rsid w:val="444D0B12"/>
    <w:rsid w:val="44525546"/>
    <w:rsid w:val="44577C71"/>
    <w:rsid w:val="445A4F51"/>
    <w:rsid w:val="446B7FF3"/>
    <w:rsid w:val="447667FF"/>
    <w:rsid w:val="44857E1D"/>
    <w:rsid w:val="44965F92"/>
    <w:rsid w:val="449843BE"/>
    <w:rsid w:val="44A319BD"/>
    <w:rsid w:val="44BC2525"/>
    <w:rsid w:val="44C77903"/>
    <w:rsid w:val="44C86396"/>
    <w:rsid w:val="44CE5A86"/>
    <w:rsid w:val="44DB4E1D"/>
    <w:rsid w:val="44F83D03"/>
    <w:rsid w:val="44F94142"/>
    <w:rsid w:val="45185379"/>
    <w:rsid w:val="451D02DB"/>
    <w:rsid w:val="45207D9D"/>
    <w:rsid w:val="4545636E"/>
    <w:rsid w:val="455921DE"/>
    <w:rsid w:val="45825BDF"/>
    <w:rsid w:val="45827E6E"/>
    <w:rsid w:val="45850FA0"/>
    <w:rsid w:val="459D3DFB"/>
    <w:rsid w:val="45A568B0"/>
    <w:rsid w:val="45AF427F"/>
    <w:rsid w:val="45BC0CC2"/>
    <w:rsid w:val="45C042A8"/>
    <w:rsid w:val="45C97EB4"/>
    <w:rsid w:val="45CE3440"/>
    <w:rsid w:val="45D11F6F"/>
    <w:rsid w:val="45E534D7"/>
    <w:rsid w:val="45EA7CB3"/>
    <w:rsid w:val="45F36383"/>
    <w:rsid w:val="461765B0"/>
    <w:rsid w:val="4619580C"/>
    <w:rsid w:val="46353352"/>
    <w:rsid w:val="463B4372"/>
    <w:rsid w:val="4649075B"/>
    <w:rsid w:val="46580723"/>
    <w:rsid w:val="465B6630"/>
    <w:rsid w:val="4676059B"/>
    <w:rsid w:val="467A6AC4"/>
    <w:rsid w:val="467E18C5"/>
    <w:rsid w:val="46A42C21"/>
    <w:rsid w:val="46AF345A"/>
    <w:rsid w:val="46BF7979"/>
    <w:rsid w:val="46C07CB4"/>
    <w:rsid w:val="46DB146F"/>
    <w:rsid w:val="46E13685"/>
    <w:rsid w:val="46E86D97"/>
    <w:rsid w:val="46EC741F"/>
    <w:rsid w:val="46F0546E"/>
    <w:rsid w:val="47020095"/>
    <w:rsid w:val="47036B3D"/>
    <w:rsid w:val="471D540C"/>
    <w:rsid w:val="471F1D29"/>
    <w:rsid w:val="472775AD"/>
    <w:rsid w:val="473B594C"/>
    <w:rsid w:val="47463EBB"/>
    <w:rsid w:val="47476BF4"/>
    <w:rsid w:val="47666637"/>
    <w:rsid w:val="477B5D35"/>
    <w:rsid w:val="47815AEE"/>
    <w:rsid w:val="479A705B"/>
    <w:rsid w:val="479F49B3"/>
    <w:rsid w:val="47A0492F"/>
    <w:rsid w:val="47D06628"/>
    <w:rsid w:val="47DE7B5D"/>
    <w:rsid w:val="47E17F92"/>
    <w:rsid w:val="47E56601"/>
    <w:rsid w:val="47EE2065"/>
    <w:rsid w:val="47FF453D"/>
    <w:rsid w:val="482504B0"/>
    <w:rsid w:val="482A38AF"/>
    <w:rsid w:val="48364E2E"/>
    <w:rsid w:val="48410171"/>
    <w:rsid w:val="48413307"/>
    <w:rsid w:val="48443C4E"/>
    <w:rsid w:val="4849441B"/>
    <w:rsid w:val="48510A04"/>
    <w:rsid w:val="48513C1D"/>
    <w:rsid w:val="48783EBF"/>
    <w:rsid w:val="487B4B2C"/>
    <w:rsid w:val="488629AA"/>
    <w:rsid w:val="48A81FA5"/>
    <w:rsid w:val="48B9380C"/>
    <w:rsid w:val="48B94E3B"/>
    <w:rsid w:val="48D541B6"/>
    <w:rsid w:val="48DB2B28"/>
    <w:rsid w:val="48FC788C"/>
    <w:rsid w:val="48FF0084"/>
    <w:rsid w:val="490F67D8"/>
    <w:rsid w:val="491630AA"/>
    <w:rsid w:val="49310736"/>
    <w:rsid w:val="493F6995"/>
    <w:rsid w:val="49441473"/>
    <w:rsid w:val="49533C5A"/>
    <w:rsid w:val="495373AE"/>
    <w:rsid w:val="49664225"/>
    <w:rsid w:val="497B10AA"/>
    <w:rsid w:val="498559F3"/>
    <w:rsid w:val="498B3B44"/>
    <w:rsid w:val="498E4DEE"/>
    <w:rsid w:val="49994232"/>
    <w:rsid w:val="49BE2DE3"/>
    <w:rsid w:val="49C16E2A"/>
    <w:rsid w:val="49D12723"/>
    <w:rsid w:val="4A3069B1"/>
    <w:rsid w:val="4A381549"/>
    <w:rsid w:val="4A472B5B"/>
    <w:rsid w:val="4A4B481A"/>
    <w:rsid w:val="4A5B57C2"/>
    <w:rsid w:val="4A6A67E0"/>
    <w:rsid w:val="4A833B52"/>
    <w:rsid w:val="4A8359CA"/>
    <w:rsid w:val="4A8851A2"/>
    <w:rsid w:val="4A8B720A"/>
    <w:rsid w:val="4AC1317D"/>
    <w:rsid w:val="4AC3143B"/>
    <w:rsid w:val="4ACD5A61"/>
    <w:rsid w:val="4AD93CE2"/>
    <w:rsid w:val="4ADB2FEE"/>
    <w:rsid w:val="4AE7489E"/>
    <w:rsid w:val="4AFB4C2A"/>
    <w:rsid w:val="4B0F642A"/>
    <w:rsid w:val="4B175B47"/>
    <w:rsid w:val="4B176D20"/>
    <w:rsid w:val="4B1921D2"/>
    <w:rsid w:val="4B1C7147"/>
    <w:rsid w:val="4B2E295A"/>
    <w:rsid w:val="4B333CF3"/>
    <w:rsid w:val="4B3C2B01"/>
    <w:rsid w:val="4B415FFC"/>
    <w:rsid w:val="4B4C2295"/>
    <w:rsid w:val="4B6E1A26"/>
    <w:rsid w:val="4B7A5C19"/>
    <w:rsid w:val="4B9B083D"/>
    <w:rsid w:val="4BA56AB0"/>
    <w:rsid w:val="4BAB36FA"/>
    <w:rsid w:val="4BB77F4B"/>
    <w:rsid w:val="4BF11774"/>
    <w:rsid w:val="4C0F28D8"/>
    <w:rsid w:val="4C22456D"/>
    <w:rsid w:val="4C237A6E"/>
    <w:rsid w:val="4C51542F"/>
    <w:rsid w:val="4C5D7FA4"/>
    <w:rsid w:val="4C69151B"/>
    <w:rsid w:val="4C6E7E82"/>
    <w:rsid w:val="4C7305FC"/>
    <w:rsid w:val="4C7739A1"/>
    <w:rsid w:val="4C8272CE"/>
    <w:rsid w:val="4C905990"/>
    <w:rsid w:val="4C9569E8"/>
    <w:rsid w:val="4C9C5F6C"/>
    <w:rsid w:val="4CA01AA1"/>
    <w:rsid w:val="4CA62B67"/>
    <w:rsid w:val="4CAD6FD5"/>
    <w:rsid w:val="4CAF46C4"/>
    <w:rsid w:val="4CB91A79"/>
    <w:rsid w:val="4CDC3DC2"/>
    <w:rsid w:val="4D0B1F15"/>
    <w:rsid w:val="4D0C54F1"/>
    <w:rsid w:val="4D2919B2"/>
    <w:rsid w:val="4D67100D"/>
    <w:rsid w:val="4D686E42"/>
    <w:rsid w:val="4D6A7175"/>
    <w:rsid w:val="4D835D2D"/>
    <w:rsid w:val="4D8F1B22"/>
    <w:rsid w:val="4DA26DBD"/>
    <w:rsid w:val="4DB44CB6"/>
    <w:rsid w:val="4DC6126C"/>
    <w:rsid w:val="4DCA73FC"/>
    <w:rsid w:val="4DCF1A14"/>
    <w:rsid w:val="4DEB1F1A"/>
    <w:rsid w:val="4DFA3BA2"/>
    <w:rsid w:val="4E0F522B"/>
    <w:rsid w:val="4E1274DF"/>
    <w:rsid w:val="4E147359"/>
    <w:rsid w:val="4E234545"/>
    <w:rsid w:val="4E337B7D"/>
    <w:rsid w:val="4E372F34"/>
    <w:rsid w:val="4E45311B"/>
    <w:rsid w:val="4E556FB5"/>
    <w:rsid w:val="4E5A49D7"/>
    <w:rsid w:val="4E786902"/>
    <w:rsid w:val="4E7C2BFF"/>
    <w:rsid w:val="4E93675B"/>
    <w:rsid w:val="4E9C7C24"/>
    <w:rsid w:val="4ECC46EC"/>
    <w:rsid w:val="4EDB2ED8"/>
    <w:rsid w:val="4EDB3C3A"/>
    <w:rsid w:val="4EDB5ACC"/>
    <w:rsid w:val="4EDF74F0"/>
    <w:rsid w:val="4F2D4B92"/>
    <w:rsid w:val="4F2D607D"/>
    <w:rsid w:val="4F3A220E"/>
    <w:rsid w:val="4F3F1755"/>
    <w:rsid w:val="4F4D2B14"/>
    <w:rsid w:val="4F502BCF"/>
    <w:rsid w:val="4F5C65E6"/>
    <w:rsid w:val="4F5E594E"/>
    <w:rsid w:val="4F722A44"/>
    <w:rsid w:val="4F7936D8"/>
    <w:rsid w:val="4FA36A5E"/>
    <w:rsid w:val="4FB16948"/>
    <w:rsid w:val="4FB5349E"/>
    <w:rsid w:val="4FC10004"/>
    <w:rsid w:val="4FC160FC"/>
    <w:rsid w:val="4FC96194"/>
    <w:rsid w:val="4FDA5D9D"/>
    <w:rsid w:val="4FDD70A5"/>
    <w:rsid w:val="4FE860FF"/>
    <w:rsid w:val="4FE87C79"/>
    <w:rsid w:val="4FF84E69"/>
    <w:rsid w:val="4FFA4E5C"/>
    <w:rsid w:val="50044C83"/>
    <w:rsid w:val="50056F9C"/>
    <w:rsid w:val="5011170C"/>
    <w:rsid w:val="502F0700"/>
    <w:rsid w:val="50370D96"/>
    <w:rsid w:val="503912D7"/>
    <w:rsid w:val="50450D76"/>
    <w:rsid w:val="50660385"/>
    <w:rsid w:val="506E40AA"/>
    <w:rsid w:val="50821F14"/>
    <w:rsid w:val="509262CA"/>
    <w:rsid w:val="509B0528"/>
    <w:rsid w:val="50AC0BEC"/>
    <w:rsid w:val="50B0030E"/>
    <w:rsid w:val="50C03AEB"/>
    <w:rsid w:val="50C30E2A"/>
    <w:rsid w:val="50D02A96"/>
    <w:rsid w:val="512171F0"/>
    <w:rsid w:val="5137057B"/>
    <w:rsid w:val="514E34E0"/>
    <w:rsid w:val="514F13A6"/>
    <w:rsid w:val="51705821"/>
    <w:rsid w:val="5179641E"/>
    <w:rsid w:val="51A80981"/>
    <w:rsid w:val="51B016B7"/>
    <w:rsid w:val="51CE05A8"/>
    <w:rsid w:val="51D22420"/>
    <w:rsid w:val="51D30C64"/>
    <w:rsid w:val="51F0646E"/>
    <w:rsid w:val="51F14D08"/>
    <w:rsid w:val="51FD2A66"/>
    <w:rsid w:val="52091889"/>
    <w:rsid w:val="521C1697"/>
    <w:rsid w:val="521E31BF"/>
    <w:rsid w:val="521F1B33"/>
    <w:rsid w:val="522367BD"/>
    <w:rsid w:val="522838E4"/>
    <w:rsid w:val="523111A1"/>
    <w:rsid w:val="52342423"/>
    <w:rsid w:val="52387CA6"/>
    <w:rsid w:val="524D436E"/>
    <w:rsid w:val="5261262A"/>
    <w:rsid w:val="527021B5"/>
    <w:rsid w:val="52727989"/>
    <w:rsid w:val="52940881"/>
    <w:rsid w:val="52A4362B"/>
    <w:rsid w:val="52AA5EB7"/>
    <w:rsid w:val="52AB3755"/>
    <w:rsid w:val="52BC4786"/>
    <w:rsid w:val="52D2597B"/>
    <w:rsid w:val="52EA29F6"/>
    <w:rsid w:val="52F4189A"/>
    <w:rsid w:val="52F60E74"/>
    <w:rsid w:val="532E1800"/>
    <w:rsid w:val="5346556F"/>
    <w:rsid w:val="53495002"/>
    <w:rsid w:val="5357318B"/>
    <w:rsid w:val="5364531A"/>
    <w:rsid w:val="53683818"/>
    <w:rsid w:val="536E09AF"/>
    <w:rsid w:val="537372A3"/>
    <w:rsid w:val="537A353A"/>
    <w:rsid w:val="53A55DD3"/>
    <w:rsid w:val="53A636B1"/>
    <w:rsid w:val="53B0568A"/>
    <w:rsid w:val="53B51901"/>
    <w:rsid w:val="53EC44B7"/>
    <w:rsid w:val="53F25B62"/>
    <w:rsid w:val="54117BBF"/>
    <w:rsid w:val="541A7F6D"/>
    <w:rsid w:val="54212267"/>
    <w:rsid w:val="543F50C1"/>
    <w:rsid w:val="5450494F"/>
    <w:rsid w:val="54687459"/>
    <w:rsid w:val="54810B99"/>
    <w:rsid w:val="54923243"/>
    <w:rsid w:val="54BD02E5"/>
    <w:rsid w:val="54C5211F"/>
    <w:rsid w:val="54DB1935"/>
    <w:rsid w:val="54DD2A26"/>
    <w:rsid w:val="54E00370"/>
    <w:rsid w:val="54EE2447"/>
    <w:rsid w:val="54F2627D"/>
    <w:rsid w:val="551D1B3B"/>
    <w:rsid w:val="55383601"/>
    <w:rsid w:val="553C53C1"/>
    <w:rsid w:val="55410F72"/>
    <w:rsid w:val="55415086"/>
    <w:rsid w:val="55421546"/>
    <w:rsid w:val="554D6BD7"/>
    <w:rsid w:val="55523CF3"/>
    <w:rsid w:val="55564377"/>
    <w:rsid w:val="555959B3"/>
    <w:rsid w:val="5560581D"/>
    <w:rsid w:val="55692C73"/>
    <w:rsid w:val="557D48F2"/>
    <w:rsid w:val="5587475D"/>
    <w:rsid w:val="558C4AD7"/>
    <w:rsid w:val="55B57DD0"/>
    <w:rsid w:val="55C833B2"/>
    <w:rsid w:val="55CE4251"/>
    <w:rsid w:val="55D14627"/>
    <w:rsid w:val="55DA1F88"/>
    <w:rsid w:val="55E42FBE"/>
    <w:rsid w:val="55EA7978"/>
    <w:rsid w:val="55EC2B34"/>
    <w:rsid w:val="55F77741"/>
    <w:rsid w:val="55FB48C1"/>
    <w:rsid w:val="56105FFF"/>
    <w:rsid w:val="562A3ACA"/>
    <w:rsid w:val="564415BC"/>
    <w:rsid w:val="565A7062"/>
    <w:rsid w:val="567A7BDD"/>
    <w:rsid w:val="56884EA9"/>
    <w:rsid w:val="56A024AF"/>
    <w:rsid w:val="56B17902"/>
    <w:rsid w:val="56B45062"/>
    <w:rsid w:val="56BB6D97"/>
    <w:rsid w:val="56C9463C"/>
    <w:rsid w:val="56D24D0D"/>
    <w:rsid w:val="56D706CF"/>
    <w:rsid w:val="56EE39EA"/>
    <w:rsid w:val="570B5D71"/>
    <w:rsid w:val="57357937"/>
    <w:rsid w:val="57373773"/>
    <w:rsid w:val="5752310B"/>
    <w:rsid w:val="57584476"/>
    <w:rsid w:val="5785402A"/>
    <w:rsid w:val="57864673"/>
    <w:rsid w:val="578F270D"/>
    <w:rsid w:val="579F7526"/>
    <w:rsid w:val="57C01991"/>
    <w:rsid w:val="57C5514B"/>
    <w:rsid w:val="57CB313A"/>
    <w:rsid w:val="57CE051E"/>
    <w:rsid w:val="57E428FB"/>
    <w:rsid w:val="57FB38F7"/>
    <w:rsid w:val="58064674"/>
    <w:rsid w:val="580E180C"/>
    <w:rsid w:val="58132603"/>
    <w:rsid w:val="581D6CDD"/>
    <w:rsid w:val="582C58DD"/>
    <w:rsid w:val="58356AAA"/>
    <w:rsid w:val="58371CF3"/>
    <w:rsid w:val="5852575B"/>
    <w:rsid w:val="58653A35"/>
    <w:rsid w:val="58894569"/>
    <w:rsid w:val="588B16F9"/>
    <w:rsid w:val="58932A47"/>
    <w:rsid w:val="58970ED3"/>
    <w:rsid w:val="58973DAE"/>
    <w:rsid w:val="58AE0E76"/>
    <w:rsid w:val="58B01EFA"/>
    <w:rsid w:val="58B31C0B"/>
    <w:rsid w:val="58B51886"/>
    <w:rsid w:val="58BD7349"/>
    <w:rsid w:val="58C75EFD"/>
    <w:rsid w:val="58DF5C1C"/>
    <w:rsid w:val="58EE7B21"/>
    <w:rsid w:val="59083360"/>
    <w:rsid w:val="590B55B7"/>
    <w:rsid w:val="591742C7"/>
    <w:rsid w:val="59174D54"/>
    <w:rsid w:val="592754AC"/>
    <w:rsid w:val="59337746"/>
    <w:rsid w:val="593461DD"/>
    <w:rsid w:val="594860FC"/>
    <w:rsid w:val="59626664"/>
    <w:rsid w:val="59652F59"/>
    <w:rsid w:val="59870095"/>
    <w:rsid w:val="59951A2A"/>
    <w:rsid w:val="59A23F00"/>
    <w:rsid w:val="59A95129"/>
    <w:rsid w:val="59C95BA7"/>
    <w:rsid w:val="59D40245"/>
    <w:rsid w:val="59D46EC1"/>
    <w:rsid w:val="59E54B54"/>
    <w:rsid w:val="59EA4AED"/>
    <w:rsid w:val="59F25888"/>
    <w:rsid w:val="5A062BA8"/>
    <w:rsid w:val="5A1068EA"/>
    <w:rsid w:val="5A157150"/>
    <w:rsid w:val="5A213575"/>
    <w:rsid w:val="5A2B44C6"/>
    <w:rsid w:val="5A49486C"/>
    <w:rsid w:val="5A584618"/>
    <w:rsid w:val="5A624F91"/>
    <w:rsid w:val="5A64688B"/>
    <w:rsid w:val="5A72105D"/>
    <w:rsid w:val="5A762C44"/>
    <w:rsid w:val="5A8235C6"/>
    <w:rsid w:val="5A836A33"/>
    <w:rsid w:val="5A8444D1"/>
    <w:rsid w:val="5A925297"/>
    <w:rsid w:val="5A991067"/>
    <w:rsid w:val="5AA27EE7"/>
    <w:rsid w:val="5AA51F99"/>
    <w:rsid w:val="5AB407CE"/>
    <w:rsid w:val="5AE35627"/>
    <w:rsid w:val="5AE47D6B"/>
    <w:rsid w:val="5AF60CFC"/>
    <w:rsid w:val="5B01621B"/>
    <w:rsid w:val="5B1A313A"/>
    <w:rsid w:val="5B2D4DC7"/>
    <w:rsid w:val="5B476EE2"/>
    <w:rsid w:val="5B534B64"/>
    <w:rsid w:val="5B6952C8"/>
    <w:rsid w:val="5B6B6832"/>
    <w:rsid w:val="5B7F2DD7"/>
    <w:rsid w:val="5B830083"/>
    <w:rsid w:val="5BA0718B"/>
    <w:rsid w:val="5BA40AF5"/>
    <w:rsid w:val="5BAB1649"/>
    <w:rsid w:val="5BAC0FC3"/>
    <w:rsid w:val="5BBA7067"/>
    <w:rsid w:val="5BEC4301"/>
    <w:rsid w:val="5C081D20"/>
    <w:rsid w:val="5C190313"/>
    <w:rsid w:val="5C3552E4"/>
    <w:rsid w:val="5C4D0F8C"/>
    <w:rsid w:val="5C6E6C53"/>
    <w:rsid w:val="5C766B83"/>
    <w:rsid w:val="5C775A0F"/>
    <w:rsid w:val="5C8A4F23"/>
    <w:rsid w:val="5C915D2D"/>
    <w:rsid w:val="5C991043"/>
    <w:rsid w:val="5C992D2F"/>
    <w:rsid w:val="5CA61B1F"/>
    <w:rsid w:val="5CBC7FF7"/>
    <w:rsid w:val="5CC26C91"/>
    <w:rsid w:val="5CCB2CB7"/>
    <w:rsid w:val="5CD01D88"/>
    <w:rsid w:val="5CE55F63"/>
    <w:rsid w:val="5D003997"/>
    <w:rsid w:val="5D0248BD"/>
    <w:rsid w:val="5D0364DE"/>
    <w:rsid w:val="5D1013DA"/>
    <w:rsid w:val="5D104257"/>
    <w:rsid w:val="5D2E6451"/>
    <w:rsid w:val="5D310068"/>
    <w:rsid w:val="5D335F34"/>
    <w:rsid w:val="5D38686B"/>
    <w:rsid w:val="5D4234AC"/>
    <w:rsid w:val="5D4F0D18"/>
    <w:rsid w:val="5D532029"/>
    <w:rsid w:val="5D5775C9"/>
    <w:rsid w:val="5D603377"/>
    <w:rsid w:val="5D653321"/>
    <w:rsid w:val="5D7676B4"/>
    <w:rsid w:val="5D9F097F"/>
    <w:rsid w:val="5DA22FF3"/>
    <w:rsid w:val="5DA463A4"/>
    <w:rsid w:val="5DB06F2B"/>
    <w:rsid w:val="5DB8487E"/>
    <w:rsid w:val="5DE46E74"/>
    <w:rsid w:val="5DF0072B"/>
    <w:rsid w:val="5E123178"/>
    <w:rsid w:val="5E16601F"/>
    <w:rsid w:val="5E1B687A"/>
    <w:rsid w:val="5E1E3F18"/>
    <w:rsid w:val="5E2910CF"/>
    <w:rsid w:val="5E5549FE"/>
    <w:rsid w:val="5E5C068C"/>
    <w:rsid w:val="5E5E1326"/>
    <w:rsid w:val="5E6C3E62"/>
    <w:rsid w:val="5E783E1E"/>
    <w:rsid w:val="5E902046"/>
    <w:rsid w:val="5E914099"/>
    <w:rsid w:val="5E95134E"/>
    <w:rsid w:val="5EBA04A2"/>
    <w:rsid w:val="5EE36AD0"/>
    <w:rsid w:val="5EF26807"/>
    <w:rsid w:val="5F00241B"/>
    <w:rsid w:val="5F03236A"/>
    <w:rsid w:val="5F092B01"/>
    <w:rsid w:val="5F0E410E"/>
    <w:rsid w:val="5F160B46"/>
    <w:rsid w:val="5F233A45"/>
    <w:rsid w:val="5F286A6D"/>
    <w:rsid w:val="5F2879DD"/>
    <w:rsid w:val="5F2E3C1E"/>
    <w:rsid w:val="5F374A97"/>
    <w:rsid w:val="5F4369FF"/>
    <w:rsid w:val="5F467064"/>
    <w:rsid w:val="5F5365F2"/>
    <w:rsid w:val="5F5632C6"/>
    <w:rsid w:val="5F5D52DC"/>
    <w:rsid w:val="5F635042"/>
    <w:rsid w:val="5F720C2B"/>
    <w:rsid w:val="5FB37133"/>
    <w:rsid w:val="5FBF5824"/>
    <w:rsid w:val="5FC45F37"/>
    <w:rsid w:val="5FD103D7"/>
    <w:rsid w:val="5FDD17DA"/>
    <w:rsid w:val="5FE44672"/>
    <w:rsid w:val="5FF31C66"/>
    <w:rsid w:val="5FFD2A42"/>
    <w:rsid w:val="6010299B"/>
    <w:rsid w:val="601375A7"/>
    <w:rsid w:val="601D2EE7"/>
    <w:rsid w:val="601E1BEF"/>
    <w:rsid w:val="60502E5C"/>
    <w:rsid w:val="60592D7B"/>
    <w:rsid w:val="605B5278"/>
    <w:rsid w:val="605F0965"/>
    <w:rsid w:val="606935B4"/>
    <w:rsid w:val="60874B22"/>
    <w:rsid w:val="608A3BD6"/>
    <w:rsid w:val="608F0A3A"/>
    <w:rsid w:val="609F5AE7"/>
    <w:rsid w:val="60B13E9F"/>
    <w:rsid w:val="60B27F20"/>
    <w:rsid w:val="60B83B2C"/>
    <w:rsid w:val="60C4457B"/>
    <w:rsid w:val="60CE6336"/>
    <w:rsid w:val="60D41CDC"/>
    <w:rsid w:val="60E613B2"/>
    <w:rsid w:val="60E63071"/>
    <w:rsid w:val="60E65070"/>
    <w:rsid w:val="611527A8"/>
    <w:rsid w:val="6122382C"/>
    <w:rsid w:val="61236932"/>
    <w:rsid w:val="61256D08"/>
    <w:rsid w:val="61325505"/>
    <w:rsid w:val="613437F9"/>
    <w:rsid w:val="614560D6"/>
    <w:rsid w:val="61481FAC"/>
    <w:rsid w:val="617B5E3A"/>
    <w:rsid w:val="618E00F2"/>
    <w:rsid w:val="61987965"/>
    <w:rsid w:val="619E26F0"/>
    <w:rsid w:val="61A87313"/>
    <w:rsid w:val="61B56ED7"/>
    <w:rsid w:val="61D0780A"/>
    <w:rsid w:val="61E67345"/>
    <w:rsid w:val="62094AC7"/>
    <w:rsid w:val="620F6680"/>
    <w:rsid w:val="62160A18"/>
    <w:rsid w:val="62191F81"/>
    <w:rsid w:val="621B1262"/>
    <w:rsid w:val="62372B0E"/>
    <w:rsid w:val="62405990"/>
    <w:rsid w:val="62456A25"/>
    <w:rsid w:val="62503122"/>
    <w:rsid w:val="62633E0F"/>
    <w:rsid w:val="626759D5"/>
    <w:rsid w:val="626D0E1D"/>
    <w:rsid w:val="62777801"/>
    <w:rsid w:val="627D18AD"/>
    <w:rsid w:val="627D702B"/>
    <w:rsid w:val="627D7796"/>
    <w:rsid w:val="62917EEE"/>
    <w:rsid w:val="62A2442A"/>
    <w:rsid w:val="62AB6EC2"/>
    <w:rsid w:val="62E12C90"/>
    <w:rsid w:val="62E2670E"/>
    <w:rsid w:val="62EC0B62"/>
    <w:rsid w:val="62ED2A3B"/>
    <w:rsid w:val="62ED2E38"/>
    <w:rsid w:val="6305232A"/>
    <w:rsid w:val="63137508"/>
    <w:rsid w:val="631D15BC"/>
    <w:rsid w:val="6324762A"/>
    <w:rsid w:val="63334FE5"/>
    <w:rsid w:val="6345501F"/>
    <w:rsid w:val="634D3578"/>
    <w:rsid w:val="635D7B9F"/>
    <w:rsid w:val="63605468"/>
    <w:rsid w:val="6375097A"/>
    <w:rsid w:val="63825584"/>
    <w:rsid w:val="639A22EA"/>
    <w:rsid w:val="63AD17F0"/>
    <w:rsid w:val="63B55CFE"/>
    <w:rsid w:val="63C02F4A"/>
    <w:rsid w:val="63D94365"/>
    <w:rsid w:val="63EF7BDD"/>
    <w:rsid w:val="6408276D"/>
    <w:rsid w:val="64290918"/>
    <w:rsid w:val="642A1842"/>
    <w:rsid w:val="64350F85"/>
    <w:rsid w:val="64406C1C"/>
    <w:rsid w:val="644E05AD"/>
    <w:rsid w:val="647B1904"/>
    <w:rsid w:val="648A5EF6"/>
    <w:rsid w:val="649509AC"/>
    <w:rsid w:val="64A04063"/>
    <w:rsid w:val="64AA333A"/>
    <w:rsid w:val="64B9438A"/>
    <w:rsid w:val="64C319A4"/>
    <w:rsid w:val="64D6705B"/>
    <w:rsid w:val="64DB4D34"/>
    <w:rsid w:val="64DC58E3"/>
    <w:rsid w:val="64E014FC"/>
    <w:rsid w:val="64ED41A9"/>
    <w:rsid w:val="64F667D1"/>
    <w:rsid w:val="64FB429E"/>
    <w:rsid w:val="64FC35B7"/>
    <w:rsid w:val="65073443"/>
    <w:rsid w:val="65180DCE"/>
    <w:rsid w:val="653D7095"/>
    <w:rsid w:val="65425C0E"/>
    <w:rsid w:val="65510D5D"/>
    <w:rsid w:val="656C2418"/>
    <w:rsid w:val="6574019B"/>
    <w:rsid w:val="657C3E06"/>
    <w:rsid w:val="65810281"/>
    <w:rsid w:val="65A84692"/>
    <w:rsid w:val="65B102F7"/>
    <w:rsid w:val="65BC4F4B"/>
    <w:rsid w:val="65C95330"/>
    <w:rsid w:val="65D64E23"/>
    <w:rsid w:val="65DF2417"/>
    <w:rsid w:val="65E75E3A"/>
    <w:rsid w:val="65F741C8"/>
    <w:rsid w:val="660B561D"/>
    <w:rsid w:val="660C0830"/>
    <w:rsid w:val="661669C3"/>
    <w:rsid w:val="66254C98"/>
    <w:rsid w:val="662723C3"/>
    <w:rsid w:val="66476BAA"/>
    <w:rsid w:val="66583048"/>
    <w:rsid w:val="665F7593"/>
    <w:rsid w:val="668260B7"/>
    <w:rsid w:val="66A04ACD"/>
    <w:rsid w:val="66A96997"/>
    <w:rsid w:val="66AB512A"/>
    <w:rsid w:val="66AB52BF"/>
    <w:rsid w:val="66B15F58"/>
    <w:rsid w:val="66BA708B"/>
    <w:rsid w:val="66C67127"/>
    <w:rsid w:val="66D01FC1"/>
    <w:rsid w:val="66DA490F"/>
    <w:rsid w:val="66DB7743"/>
    <w:rsid w:val="66EF3621"/>
    <w:rsid w:val="66F20E61"/>
    <w:rsid w:val="66FF6595"/>
    <w:rsid w:val="670304ED"/>
    <w:rsid w:val="670B02E7"/>
    <w:rsid w:val="670B29FF"/>
    <w:rsid w:val="670E7BB6"/>
    <w:rsid w:val="6710771C"/>
    <w:rsid w:val="67305191"/>
    <w:rsid w:val="67501035"/>
    <w:rsid w:val="675C1C7E"/>
    <w:rsid w:val="675D789D"/>
    <w:rsid w:val="679C162D"/>
    <w:rsid w:val="67A80476"/>
    <w:rsid w:val="67B03949"/>
    <w:rsid w:val="67C957CA"/>
    <w:rsid w:val="67ED6659"/>
    <w:rsid w:val="67EF38ED"/>
    <w:rsid w:val="67F3757D"/>
    <w:rsid w:val="67F72D4A"/>
    <w:rsid w:val="67F74A13"/>
    <w:rsid w:val="68132CDF"/>
    <w:rsid w:val="68244DF8"/>
    <w:rsid w:val="68267BF8"/>
    <w:rsid w:val="685409E3"/>
    <w:rsid w:val="6884308A"/>
    <w:rsid w:val="68861FE3"/>
    <w:rsid w:val="68A86286"/>
    <w:rsid w:val="68AB6F97"/>
    <w:rsid w:val="68AC25A2"/>
    <w:rsid w:val="68AD72FB"/>
    <w:rsid w:val="68B46AD1"/>
    <w:rsid w:val="68B70F06"/>
    <w:rsid w:val="68BD4D24"/>
    <w:rsid w:val="68C3190B"/>
    <w:rsid w:val="68C332A2"/>
    <w:rsid w:val="68D142A2"/>
    <w:rsid w:val="68E168DC"/>
    <w:rsid w:val="68E72A96"/>
    <w:rsid w:val="68F7206E"/>
    <w:rsid w:val="68FE306B"/>
    <w:rsid w:val="690E30BA"/>
    <w:rsid w:val="6910780F"/>
    <w:rsid w:val="691D4FCD"/>
    <w:rsid w:val="69300857"/>
    <w:rsid w:val="693D0875"/>
    <w:rsid w:val="69585361"/>
    <w:rsid w:val="69690CC8"/>
    <w:rsid w:val="696F6377"/>
    <w:rsid w:val="69774A58"/>
    <w:rsid w:val="69784CE8"/>
    <w:rsid w:val="69804E9A"/>
    <w:rsid w:val="698A6F34"/>
    <w:rsid w:val="69965EEE"/>
    <w:rsid w:val="699745CD"/>
    <w:rsid w:val="69A341D7"/>
    <w:rsid w:val="69A62351"/>
    <w:rsid w:val="69B01ED9"/>
    <w:rsid w:val="69CF5DEF"/>
    <w:rsid w:val="69E11094"/>
    <w:rsid w:val="69E71792"/>
    <w:rsid w:val="6A022561"/>
    <w:rsid w:val="6A1C2912"/>
    <w:rsid w:val="6A8155D6"/>
    <w:rsid w:val="6A882A34"/>
    <w:rsid w:val="6A8F3BBA"/>
    <w:rsid w:val="6AA56216"/>
    <w:rsid w:val="6AAE2FAA"/>
    <w:rsid w:val="6AB31EE8"/>
    <w:rsid w:val="6ABB1380"/>
    <w:rsid w:val="6AC76851"/>
    <w:rsid w:val="6AC87D14"/>
    <w:rsid w:val="6ACE3193"/>
    <w:rsid w:val="6ACF2091"/>
    <w:rsid w:val="6ADA4070"/>
    <w:rsid w:val="6AED1B38"/>
    <w:rsid w:val="6AFB4667"/>
    <w:rsid w:val="6B01615B"/>
    <w:rsid w:val="6B161CE6"/>
    <w:rsid w:val="6B1F2881"/>
    <w:rsid w:val="6B25045E"/>
    <w:rsid w:val="6B271478"/>
    <w:rsid w:val="6B2E0DE2"/>
    <w:rsid w:val="6B5F395C"/>
    <w:rsid w:val="6B647925"/>
    <w:rsid w:val="6B7C39B8"/>
    <w:rsid w:val="6BA53AAB"/>
    <w:rsid w:val="6BA951C5"/>
    <w:rsid w:val="6BAE3BDE"/>
    <w:rsid w:val="6BBC20A3"/>
    <w:rsid w:val="6BD673C7"/>
    <w:rsid w:val="6BE643AC"/>
    <w:rsid w:val="6C0C59DE"/>
    <w:rsid w:val="6C0E2D41"/>
    <w:rsid w:val="6C11727E"/>
    <w:rsid w:val="6C1605EA"/>
    <w:rsid w:val="6C1F5DBA"/>
    <w:rsid w:val="6C2421DF"/>
    <w:rsid w:val="6C2E48C2"/>
    <w:rsid w:val="6C526A12"/>
    <w:rsid w:val="6C636AFA"/>
    <w:rsid w:val="6C685252"/>
    <w:rsid w:val="6C6B0AAE"/>
    <w:rsid w:val="6C7B5BE0"/>
    <w:rsid w:val="6C9D14D7"/>
    <w:rsid w:val="6CA801C1"/>
    <w:rsid w:val="6CAB270E"/>
    <w:rsid w:val="6CB1623F"/>
    <w:rsid w:val="6CB50A99"/>
    <w:rsid w:val="6CB71CE7"/>
    <w:rsid w:val="6CC14962"/>
    <w:rsid w:val="6CD37160"/>
    <w:rsid w:val="6CD80193"/>
    <w:rsid w:val="6CF422DA"/>
    <w:rsid w:val="6CF850BA"/>
    <w:rsid w:val="6CFF3966"/>
    <w:rsid w:val="6D1118C3"/>
    <w:rsid w:val="6D1818B2"/>
    <w:rsid w:val="6D2C45A8"/>
    <w:rsid w:val="6D3E250F"/>
    <w:rsid w:val="6D42004A"/>
    <w:rsid w:val="6D7236FC"/>
    <w:rsid w:val="6D744B2E"/>
    <w:rsid w:val="6D8E702A"/>
    <w:rsid w:val="6D9D081F"/>
    <w:rsid w:val="6DA06DB2"/>
    <w:rsid w:val="6DB731F3"/>
    <w:rsid w:val="6DCC52DC"/>
    <w:rsid w:val="6DCC5E7B"/>
    <w:rsid w:val="6DDF38CF"/>
    <w:rsid w:val="6DE8605F"/>
    <w:rsid w:val="6DF007A2"/>
    <w:rsid w:val="6DFE2D3B"/>
    <w:rsid w:val="6E095165"/>
    <w:rsid w:val="6E1013DE"/>
    <w:rsid w:val="6E235D71"/>
    <w:rsid w:val="6E273C62"/>
    <w:rsid w:val="6E340C34"/>
    <w:rsid w:val="6E405249"/>
    <w:rsid w:val="6E417155"/>
    <w:rsid w:val="6E4D637C"/>
    <w:rsid w:val="6E4E1B8B"/>
    <w:rsid w:val="6E6C1447"/>
    <w:rsid w:val="6E763043"/>
    <w:rsid w:val="6E7767C5"/>
    <w:rsid w:val="6EAE53A9"/>
    <w:rsid w:val="6ED260BD"/>
    <w:rsid w:val="6EDB5E1F"/>
    <w:rsid w:val="6EE33490"/>
    <w:rsid w:val="6EE9547F"/>
    <w:rsid w:val="6F086EBE"/>
    <w:rsid w:val="6F165AE9"/>
    <w:rsid w:val="6F3723FF"/>
    <w:rsid w:val="6F3F33AB"/>
    <w:rsid w:val="6F4E030F"/>
    <w:rsid w:val="6F4E3BB6"/>
    <w:rsid w:val="6F5266CD"/>
    <w:rsid w:val="6F554580"/>
    <w:rsid w:val="6F5C745F"/>
    <w:rsid w:val="6F5F6D48"/>
    <w:rsid w:val="6F717D8C"/>
    <w:rsid w:val="6F743776"/>
    <w:rsid w:val="6F8862D2"/>
    <w:rsid w:val="6F8C0AF2"/>
    <w:rsid w:val="6F8D2E8E"/>
    <w:rsid w:val="6F922C6D"/>
    <w:rsid w:val="6F93530E"/>
    <w:rsid w:val="6F963C65"/>
    <w:rsid w:val="6F984406"/>
    <w:rsid w:val="6FB17DF0"/>
    <w:rsid w:val="6FB2174E"/>
    <w:rsid w:val="6FB92AF1"/>
    <w:rsid w:val="6FBF1BE4"/>
    <w:rsid w:val="6FCB17BE"/>
    <w:rsid w:val="6FD93DFC"/>
    <w:rsid w:val="6FDC41DC"/>
    <w:rsid w:val="6FF94FFA"/>
    <w:rsid w:val="70096876"/>
    <w:rsid w:val="70136861"/>
    <w:rsid w:val="701E3E01"/>
    <w:rsid w:val="702075E9"/>
    <w:rsid w:val="7028146A"/>
    <w:rsid w:val="70443222"/>
    <w:rsid w:val="704576D6"/>
    <w:rsid w:val="705940ED"/>
    <w:rsid w:val="705E62A9"/>
    <w:rsid w:val="70677B41"/>
    <w:rsid w:val="707454CC"/>
    <w:rsid w:val="708B08F8"/>
    <w:rsid w:val="708F25C1"/>
    <w:rsid w:val="70D027A9"/>
    <w:rsid w:val="70E15A45"/>
    <w:rsid w:val="70E95F67"/>
    <w:rsid w:val="70F023E9"/>
    <w:rsid w:val="70F11515"/>
    <w:rsid w:val="70F70D0D"/>
    <w:rsid w:val="70FA14A1"/>
    <w:rsid w:val="71020EBF"/>
    <w:rsid w:val="71073047"/>
    <w:rsid w:val="713F730C"/>
    <w:rsid w:val="714E02F4"/>
    <w:rsid w:val="715E6B78"/>
    <w:rsid w:val="715F4412"/>
    <w:rsid w:val="716F786B"/>
    <w:rsid w:val="7187143C"/>
    <w:rsid w:val="71924B89"/>
    <w:rsid w:val="71950458"/>
    <w:rsid w:val="71960B8B"/>
    <w:rsid w:val="719D114B"/>
    <w:rsid w:val="71AF5015"/>
    <w:rsid w:val="71BF777D"/>
    <w:rsid w:val="71D465EB"/>
    <w:rsid w:val="71E328DB"/>
    <w:rsid w:val="71F06850"/>
    <w:rsid w:val="71FC7F37"/>
    <w:rsid w:val="72041BE6"/>
    <w:rsid w:val="72086C48"/>
    <w:rsid w:val="72127F5A"/>
    <w:rsid w:val="72144413"/>
    <w:rsid w:val="72154612"/>
    <w:rsid w:val="7218572E"/>
    <w:rsid w:val="722D452B"/>
    <w:rsid w:val="724B1DA9"/>
    <w:rsid w:val="72577915"/>
    <w:rsid w:val="72585CB4"/>
    <w:rsid w:val="7276358F"/>
    <w:rsid w:val="72776342"/>
    <w:rsid w:val="72901257"/>
    <w:rsid w:val="72902B44"/>
    <w:rsid w:val="729039A1"/>
    <w:rsid w:val="72944C75"/>
    <w:rsid w:val="72A559CA"/>
    <w:rsid w:val="72B3358B"/>
    <w:rsid w:val="72B37D9E"/>
    <w:rsid w:val="72B91315"/>
    <w:rsid w:val="72C24E24"/>
    <w:rsid w:val="72CB291B"/>
    <w:rsid w:val="72D974FE"/>
    <w:rsid w:val="72F37854"/>
    <w:rsid w:val="72F8733A"/>
    <w:rsid w:val="72FF1215"/>
    <w:rsid w:val="73023CC0"/>
    <w:rsid w:val="733C5786"/>
    <w:rsid w:val="733E70F2"/>
    <w:rsid w:val="7355176F"/>
    <w:rsid w:val="73622F2B"/>
    <w:rsid w:val="737B3F26"/>
    <w:rsid w:val="738B5D82"/>
    <w:rsid w:val="73985BD6"/>
    <w:rsid w:val="739C6461"/>
    <w:rsid w:val="73AB29A2"/>
    <w:rsid w:val="73B8014A"/>
    <w:rsid w:val="73D53357"/>
    <w:rsid w:val="73F03573"/>
    <w:rsid w:val="73F172A4"/>
    <w:rsid w:val="74003A42"/>
    <w:rsid w:val="74086365"/>
    <w:rsid w:val="74107777"/>
    <w:rsid w:val="741C138C"/>
    <w:rsid w:val="74236D22"/>
    <w:rsid w:val="744815DE"/>
    <w:rsid w:val="744A4ED0"/>
    <w:rsid w:val="744A7DB7"/>
    <w:rsid w:val="7450201E"/>
    <w:rsid w:val="74680DD6"/>
    <w:rsid w:val="747C2F21"/>
    <w:rsid w:val="749C0C6A"/>
    <w:rsid w:val="74A613E5"/>
    <w:rsid w:val="74B47633"/>
    <w:rsid w:val="74CD4240"/>
    <w:rsid w:val="74CE0B5F"/>
    <w:rsid w:val="74CE627F"/>
    <w:rsid w:val="74DC09E5"/>
    <w:rsid w:val="74E3179B"/>
    <w:rsid w:val="74F1037B"/>
    <w:rsid w:val="74F36187"/>
    <w:rsid w:val="74FB13F1"/>
    <w:rsid w:val="750203E9"/>
    <w:rsid w:val="750B4D44"/>
    <w:rsid w:val="75221BB8"/>
    <w:rsid w:val="75390771"/>
    <w:rsid w:val="75445FC8"/>
    <w:rsid w:val="755C34C6"/>
    <w:rsid w:val="75620AF7"/>
    <w:rsid w:val="75816328"/>
    <w:rsid w:val="75944F42"/>
    <w:rsid w:val="75986AC9"/>
    <w:rsid w:val="759A228B"/>
    <w:rsid w:val="75BA71DC"/>
    <w:rsid w:val="75C04A9C"/>
    <w:rsid w:val="75C86E7F"/>
    <w:rsid w:val="75DC26B7"/>
    <w:rsid w:val="75E50420"/>
    <w:rsid w:val="75EF6062"/>
    <w:rsid w:val="75F260D5"/>
    <w:rsid w:val="76050EB9"/>
    <w:rsid w:val="761B660E"/>
    <w:rsid w:val="761C68BE"/>
    <w:rsid w:val="7621313D"/>
    <w:rsid w:val="762C4935"/>
    <w:rsid w:val="7638039C"/>
    <w:rsid w:val="76443CE7"/>
    <w:rsid w:val="7655CB9D"/>
    <w:rsid w:val="765B0EB7"/>
    <w:rsid w:val="76683509"/>
    <w:rsid w:val="766D5096"/>
    <w:rsid w:val="7680054F"/>
    <w:rsid w:val="76A72939"/>
    <w:rsid w:val="76C11602"/>
    <w:rsid w:val="76DF0D2E"/>
    <w:rsid w:val="76E75EEF"/>
    <w:rsid w:val="76F65AE5"/>
    <w:rsid w:val="76FC034E"/>
    <w:rsid w:val="76FC4DB7"/>
    <w:rsid w:val="77126EE0"/>
    <w:rsid w:val="772A3F56"/>
    <w:rsid w:val="772A637E"/>
    <w:rsid w:val="772B346B"/>
    <w:rsid w:val="77342F62"/>
    <w:rsid w:val="773774BF"/>
    <w:rsid w:val="773C4D6B"/>
    <w:rsid w:val="775F1E1F"/>
    <w:rsid w:val="778771D9"/>
    <w:rsid w:val="778C6622"/>
    <w:rsid w:val="77956C7D"/>
    <w:rsid w:val="779E570E"/>
    <w:rsid w:val="77B118F9"/>
    <w:rsid w:val="77C61C72"/>
    <w:rsid w:val="77C659C7"/>
    <w:rsid w:val="77CB66B9"/>
    <w:rsid w:val="77DA24A0"/>
    <w:rsid w:val="77F57A7F"/>
    <w:rsid w:val="77F72521"/>
    <w:rsid w:val="77FE5847"/>
    <w:rsid w:val="780B7BC8"/>
    <w:rsid w:val="781B5600"/>
    <w:rsid w:val="78320A9C"/>
    <w:rsid w:val="783447C4"/>
    <w:rsid w:val="78377B5A"/>
    <w:rsid w:val="78511692"/>
    <w:rsid w:val="785A1FE0"/>
    <w:rsid w:val="7860158C"/>
    <w:rsid w:val="78651C2C"/>
    <w:rsid w:val="7869260C"/>
    <w:rsid w:val="786E1FC8"/>
    <w:rsid w:val="7874005D"/>
    <w:rsid w:val="787649CE"/>
    <w:rsid w:val="78785C79"/>
    <w:rsid w:val="787D58DE"/>
    <w:rsid w:val="787F1018"/>
    <w:rsid w:val="788757BE"/>
    <w:rsid w:val="788A6D9F"/>
    <w:rsid w:val="78A81E48"/>
    <w:rsid w:val="78B12D00"/>
    <w:rsid w:val="78C2291F"/>
    <w:rsid w:val="78C95880"/>
    <w:rsid w:val="78DB3BA8"/>
    <w:rsid w:val="78E0209C"/>
    <w:rsid w:val="78E3725A"/>
    <w:rsid w:val="78F210DD"/>
    <w:rsid w:val="79002D6F"/>
    <w:rsid w:val="790A613F"/>
    <w:rsid w:val="790B65FA"/>
    <w:rsid w:val="790D542F"/>
    <w:rsid w:val="791857FA"/>
    <w:rsid w:val="792221A3"/>
    <w:rsid w:val="79566862"/>
    <w:rsid w:val="79603A9E"/>
    <w:rsid w:val="796141BD"/>
    <w:rsid w:val="7972247C"/>
    <w:rsid w:val="79837FD3"/>
    <w:rsid w:val="798B016F"/>
    <w:rsid w:val="798C31A6"/>
    <w:rsid w:val="79A8443E"/>
    <w:rsid w:val="79AD5A2A"/>
    <w:rsid w:val="79AE2652"/>
    <w:rsid w:val="79BF1437"/>
    <w:rsid w:val="79CC27CC"/>
    <w:rsid w:val="79EA1B29"/>
    <w:rsid w:val="79F0626D"/>
    <w:rsid w:val="79FD4CAA"/>
    <w:rsid w:val="7A012BB6"/>
    <w:rsid w:val="7A02394E"/>
    <w:rsid w:val="7A042666"/>
    <w:rsid w:val="7A0508ED"/>
    <w:rsid w:val="7A0D0546"/>
    <w:rsid w:val="7A140675"/>
    <w:rsid w:val="7A146B1D"/>
    <w:rsid w:val="7A1C20B1"/>
    <w:rsid w:val="7A21135F"/>
    <w:rsid w:val="7A287055"/>
    <w:rsid w:val="7A353C03"/>
    <w:rsid w:val="7A432B35"/>
    <w:rsid w:val="7A563937"/>
    <w:rsid w:val="7A705036"/>
    <w:rsid w:val="7A8C5889"/>
    <w:rsid w:val="7A8E5323"/>
    <w:rsid w:val="7AA74346"/>
    <w:rsid w:val="7AB46620"/>
    <w:rsid w:val="7AC46E68"/>
    <w:rsid w:val="7AD76E9D"/>
    <w:rsid w:val="7AE13D5A"/>
    <w:rsid w:val="7AE55490"/>
    <w:rsid w:val="7AF35508"/>
    <w:rsid w:val="7AF37054"/>
    <w:rsid w:val="7AF91F06"/>
    <w:rsid w:val="7B352F90"/>
    <w:rsid w:val="7B3700A3"/>
    <w:rsid w:val="7B3C7E99"/>
    <w:rsid w:val="7B4545F0"/>
    <w:rsid w:val="7B4C7763"/>
    <w:rsid w:val="7B5B0939"/>
    <w:rsid w:val="7B605A1C"/>
    <w:rsid w:val="7B635C12"/>
    <w:rsid w:val="7B6910E0"/>
    <w:rsid w:val="7B6F22E8"/>
    <w:rsid w:val="7B7A1246"/>
    <w:rsid w:val="7B9C728B"/>
    <w:rsid w:val="7BB674A8"/>
    <w:rsid w:val="7BC0273F"/>
    <w:rsid w:val="7BD33FB5"/>
    <w:rsid w:val="7BE84AEE"/>
    <w:rsid w:val="7C2736FE"/>
    <w:rsid w:val="7C287980"/>
    <w:rsid w:val="7C2A0351"/>
    <w:rsid w:val="7C4D615E"/>
    <w:rsid w:val="7C525612"/>
    <w:rsid w:val="7C59030F"/>
    <w:rsid w:val="7C596A36"/>
    <w:rsid w:val="7C5E1907"/>
    <w:rsid w:val="7C96621E"/>
    <w:rsid w:val="7C9955CE"/>
    <w:rsid w:val="7CA50601"/>
    <w:rsid w:val="7CA541FF"/>
    <w:rsid w:val="7CA5501A"/>
    <w:rsid w:val="7CAA334F"/>
    <w:rsid w:val="7CB07C23"/>
    <w:rsid w:val="7CC5459A"/>
    <w:rsid w:val="7CD21810"/>
    <w:rsid w:val="7CE922F2"/>
    <w:rsid w:val="7CE955CA"/>
    <w:rsid w:val="7CEF2907"/>
    <w:rsid w:val="7D21731A"/>
    <w:rsid w:val="7D25469C"/>
    <w:rsid w:val="7D383BE9"/>
    <w:rsid w:val="7D5B51AF"/>
    <w:rsid w:val="7D7A0883"/>
    <w:rsid w:val="7D857304"/>
    <w:rsid w:val="7D917878"/>
    <w:rsid w:val="7D9C7C84"/>
    <w:rsid w:val="7DAC5F16"/>
    <w:rsid w:val="7DAD124C"/>
    <w:rsid w:val="7DB7673B"/>
    <w:rsid w:val="7DC0361A"/>
    <w:rsid w:val="7DC40BF1"/>
    <w:rsid w:val="7DC64FB9"/>
    <w:rsid w:val="7DD029CB"/>
    <w:rsid w:val="7DD470A6"/>
    <w:rsid w:val="7DD60FD3"/>
    <w:rsid w:val="7DE50E0D"/>
    <w:rsid w:val="7DF06F07"/>
    <w:rsid w:val="7E08301D"/>
    <w:rsid w:val="7E0A3410"/>
    <w:rsid w:val="7E0F69B8"/>
    <w:rsid w:val="7E113F58"/>
    <w:rsid w:val="7E264365"/>
    <w:rsid w:val="7E2E098D"/>
    <w:rsid w:val="7E453229"/>
    <w:rsid w:val="7E7A61E2"/>
    <w:rsid w:val="7E9D055F"/>
    <w:rsid w:val="7EAD2F27"/>
    <w:rsid w:val="7EBE66ED"/>
    <w:rsid w:val="7EC1235D"/>
    <w:rsid w:val="7ED94CF1"/>
    <w:rsid w:val="7EDD00AF"/>
    <w:rsid w:val="7EEE29D1"/>
    <w:rsid w:val="7EFF050F"/>
    <w:rsid w:val="7F012E37"/>
    <w:rsid w:val="7F282F5E"/>
    <w:rsid w:val="7F3C4745"/>
    <w:rsid w:val="7F3C5446"/>
    <w:rsid w:val="7F3E646D"/>
    <w:rsid w:val="7F417886"/>
    <w:rsid w:val="7F442244"/>
    <w:rsid w:val="7F511FB8"/>
    <w:rsid w:val="7F53629E"/>
    <w:rsid w:val="7F76152F"/>
    <w:rsid w:val="7F793134"/>
    <w:rsid w:val="7F8A3431"/>
    <w:rsid w:val="7F8C5A85"/>
    <w:rsid w:val="7F940E7E"/>
    <w:rsid w:val="7FAC1001"/>
    <w:rsid w:val="7FB161C8"/>
    <w:rsid w:val="7FBF3F28"/>
    <w:rsid w:val="7FC66DE6"/>
    <w:rsid w:val="7FD65F48"/>
    <w:rsid w:val="7FE2389D"/>
    <w:rsid w:val="7FE47783"/>
  </w:rsids>
  <m:mathPr>
    <m:mathFont m:val="Cambria Math"/>
    <m:brkBin m:val="before"/>
    <m:brkBinSub m:val="--"/>
    <m:smallFrac/>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49" fillcolor="white">
      <v:fill color="white"/>
    </o:shapedefaults>
    <o:shapelayout v:ext="edit">
      <o:idmap v:ext="edit" data="1"/>
    </o:shapelayout>
  </w:shapeDefaults>
  <w:decimalSymbol w:val="."/>
  <w:listSeparator w:val=","/>
  <w14:docId w14:val="19920AF5"/>
  <w15:docId w15:val="{A7EF7D27-77F7-4E9F-82FE-4267A36867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index 1" w:semiHidden="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qFormat="1"/>
    <w:lsdException w:name="footnote text" w:semiHidden="1" w:unhideWhenUsed="1"/>
    <w:lsdException w:name="annotation text" w:qFormat="1"/>
    <w:lsdException w:name="header" w:qFormat="1"/>
    <w:lsdException w:name="footer" w:qFormat="1"/>
    <w:lsdException w:name="index heading" w:semiHidden="1" w:unhideWhenUsed="1"/>
    <w:lsdException w:name="caption" w:qFormat="1"/>
    <w:lsdException w:name="table of figures" w:semiHidden="1" w:unhideWhenUsed="1"/>
    <w:lsdException w:name="envelope address" w:qFormat="1"/>
    <w:lsdException w:name="envelope return" w:qFormat="1"/>
    <w:lsdException w:name="footnote reference" w:semiHidden="1" w:unhideWhenUsed="1"/>
    <w:lsdException w:name="annotation reference" w:qFormat="1"/>
    <w:lsdException w:name="line number" w:semiHidden="1" w:unhideWhenUsed="1"/>
    <w:lsdException w:name="page number" w:qFormat="1"/>
    <w:lsdException w:name="endnote reference" w:qFormat="1"/>
    <w:lsdException w:name="endnote text" w:qFormat="1"/>
    <w:lsdException w:name="table of authorities" w:semiHidden="1" w:unhideWhenUsed="1"/>
    <w:lsdException w:name="macro" w:semiHidden="1" w:unhideWhenUsed="1"/>
    <w:lsdException w:name="toa heading" w:semiHidden="1" w:unhideWhenUsed="1"/>
    <w:lsdException w:name="List" w:qFormat="1"/>
    <w:lsdException w:name="List Bullet" w:qFormat="1"/>
    <w:lsdException w:name="List Number" w:qFormat="1"/>
    <w:lsdException w:name="List 2" w:qFormat="1"/>
    <w:lsdException w:name="List 3" w:qFormat="1"/>
    <w:lsdException w:name="List 4" w:qFormat="1"/>
    <w:lsdException w:name="List 5" w:qFormat="1"/>
    <w:lsdException w:name="List Bullet 2" w:qFormat="1"/>
    <w:lsdException w:name="List Bullet 3" w:qFormat="1"/>
    <w:lsdException w:name="List Bullet 4" w:qFormat="1"/>
    <w:lsdException w:name="List Bullet 5" w:qFormat="1"/>
    <w:lsdException w:name="List Number 2" w:qFormat="1"/>
    <w:lsdException w:name="List Number 3" w:qFormat="1"/>
    <w:lsdException w:name="List Number 4" w:qFormat="1"/>
    <w:lsdException w:name="List Number 5" w:qFormat="1"/>
    <w:lsdException w:name="Title" w:qFormat="1"/>
    <w:lsdException w:name="Closing" w:qFormat="1"/>
    <w:lsdException w:name="Signature" w:qFormat="1"/>
    <w:lsdException w:name="Default Paragraph Font" w:uiPriority="1" w:unhideWhenUsed="1" w:qFormat="1"/>
    <w:lsdException w:name="Body Text" w:qFormat="1"/>
    <w:lsdException w:name="Body Text Indent" w:qFormat="1"/>
    <w:lsdException w:name="List Continue" w:qFormat="1"/>
    <w:lsdException w:name="List Continue 2" w:qFormat="1"/>
    <w:lsdException w:name="List Continue 3" w:qFormat="1"/>
    <w:lsdException w:name="List Continue 4" w:qFormat="1"/>
    <w:lsdException w:name="List Continue 5" w:qFormat="1"/>
    <w:lsdException w:name="Message Header" w:qFormat="1"/>
    <w:lsdException w:name="Subtitle" w:qFormat="1"/>
    <w:lsdException w:name="Salutation" w:qFormat="1"/>
    <w:lsdException w:name="Date" w:uiPriority="99" w:qFormat="1"/>
    <w:lsdException w:name="Body Text First Indent" w:qFormat="1"/>
    <w:lsdException w:name="Body Text First Indent 2" w:qFormat="1"/>
    <w:lsdException w:name="Note Heading" w:qFormat="1"/>
    <w:lsdException w:name="Body Text 2" w:qFormat="1"/>
    <w:lsdException w:name="Body Text 3" w:qFormat="1"/>
    <w:lsdException w:name="Body Text Indent 2" w:qFormat="1"/>
    <w:lsdException w:name="Body Text Indent 3" w:qFormat="1"/>
    <w:lsdException w:name="Block Text" w:qFormat="1"/>
    <w:lsdException w:name="Hyperlink" w:uiPriority="99" w:qFormat="1"/>
    <w:lsdException w:name="FollowedHyperlink" w:qFormat="1"/>
    <w:lsdException w:name="Strong" w:qFormat="1"/>
    <w:lsdException w:name="Emphasis" w:qFormat="1"/>
    <w:lsdException w:name="Document Map" w:qFormat="1"/>
    <w:lsdException w:name="Plain Text" w:qFormat="1"/>
    <w:lsdException w:name="E-mail Signature" w:qFormat="1"/>
    <w:lsdException w:name="HTML Top of Form" w:semiHidden="1" w:uiPriority="99" w:unhideWhenUsed="1"/>
    <w:lsdException w:name="HTML Bottom of Form" w:semiHidden="1" w:uiPriority="99" w:unhideWhenUsed="1"/>
    <w:lsdException w:name="Normal (Web)" w:qFormat="1"/>
    <w:lsdException w:name="HTML Acronym" w:semiHidden="1" w:unhideWhenUsed="1"/>
    <w:lsdException w:name="HTML Address" w:qFormat="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qFormat="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qFormat="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qFormat="1"/>
    <w:lsdException w:name="Table Grid"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next w:val="Textkrper-Erstzeileneinzug2"/>
    <w:qFormat/>
    <w:pPr>
      <w:widowControl w:val="0"/>
      <w:spacing w:line="360" w:lineRule="auto"/>
      <w:ind w:firstLine="527"/>
      <w:jc w:val="both"/>
    </w:pPr>
    <w:rPr>
      <w:rFonts w:eastAsia="楷体_GB2312"/>
      <w:kern w:val="2"/>
      <w:sz w:val="24"/>
    </w:rPr>
  </w:style>
  <w:style w:type="paragraph" w:styleId="berschrift1">
    <w:name w:val="heading 1"/>
    <w:basedOn w:val="Standard"/>
    <w:next w:val="Standard"/>
    <w:qFormat/>
    <w:pPr>
      <w:adjustRightInd w:val="0"/>
      <w:spacing w:before="360" w:after="360" w:line="315" w:lineRule="atLeast"/>
      <w:jc w:val="left"/>
      <w:textAlignment w:val="baseline"/>
      <w:outlineLvl w:val="0"/>
    </w:pPr>
    <w:rPr>
      <w:rFonts w:ascii="宋体"/>
      <w:b/>
      <w:kern w:val="0"/>
      <w:sz w:val="60"/>
    </w:rPr>
  </w:style>
  <w:style w:type="paragraph" w:styleId="berschrift2">
    <w:name w:val="heading 2"/>
    <w:basedOn w:val="Standard"/>
    <w:next w:val="Standardeinzug"/>
    <w:qFormat/>
    <w:pPr>
      <w:adjustRightInd w:val="0"/>
      <w:spacing w:before="280" w:after="280" w:line="315" w:lineRule="atLeast"/>
      <w:jc w:val="left"/>
      <w:textAlignment w:val="baseline"/>
      <w:outlineLvl w:val="1"/>
    </w:pPr>
    <w:rPr>
      <w:rFonts w:ascii="黑体" w:eastAsia="黑体" w:hAnsi="Arial"/>
      <w:b/>
      <w:kern w:val="0"/>
      <w:sz w:val="32"/>
    </w:rPr>
  </w:style>
  <w:style w:type="paragraph" w:styleId="berschrift3">
    <w:name w:val="heading 3"/>
    <w:basedOn w:val="Standard"/>
    <w:next w:val="Standard"/>
    <w:qFormat/>
    <w:pPr>
      <w:keepNext/>
      <w:keepLines/>
      <w:adjustRightInd w:val="0"/>
      <w:ind w:firstLine="550"/>
      <w:textAlignment w:val="baseline"/>
      <w:outlineLvl w:val="2"/>
    </w:pPr>
    <w:rPr>
      <w:rFonts w:eastAsia="仿宋_GB2312"/>
    </w:rPr>
  </w:style>
  <w:style w:type="paragraph" w:styleId="berschrift4">
    <w:name w:val="heading 4"/>
    <w:basedOn w:val="Standard"/>
    <w:next w:val="Standard"/>
    <w:qFormat/>
    <w:pPr>
      <w:keepNext/>
      <w:keepLines/>
      <w:spacing w:before="280" w:after="290" w:line="376" w:lineRule="auto"/>
      <w:outlineLvl w:val="3"/>
    </w:pPr>
    <w:rPr>
      <w:rFonts w:ascii="Arial" w:eastAsia="黑体" w:hAnsi="Arial"/>
      <w:b/>
      <w:bCs/>
      <w:sz w:val="28"/>
      <w:szCs w:val="28"/>
    </w:rPr>
  </w:style>
  <w:style w:type="paragraph" w:styleId="berschrift5">
    <w:name w:val="heading 5"/>
    <w:basedOn w:val="Standard"/>
    <w:next w:val="Standard"/>
    <w:qFormat/>
    <w:pPr>
      <w:keepNext/>
      <w:keepLines/>
      <w:spacing w:before="280" w:after="290" w:line="376" w:lineRule="auto"/>
      <w:outlineLvl w:val="4"/>
    </w:pPr>
    <w:rPr>
      <w:b/>
      <w:bCs/>
      <w:sz w:val="28"/>
      <w:szCs w:val="28"/>
    </w:rPr>
  </w:style>
  <w:style w:type="paragraph" w:styleId="berschrift6">
    <w:name w:val="heading 6"/>
    <w:basedOn w:val="Standard"/>
    <w:next w:val="Standard"/>
    <w:qFormat/>
    <w:pPr>
      <w:keepNext/>
      <w:keepLines/>
      <w:spacing w:before="240" w:after="64" w:line="320" w:lineRule="auto"/>
      <w:outlineLvl w:val="5"/>
    </w:pPr>
    <w:rPr>
      <w:rFonts w:ascii="Arial" w:eastAsia="黑体" w:hAnsi="Arial"/>
      <w:b/>
      <w:bCs/>
      <w:szCs w:val="24"/>
    </w:rPr>
  </w:style>
  <w:style w:type="paragraph" w:styleId="berschrift7">
    <w:name w:val="heading 7"/>
    <w:basedOn w:val="Standard"/>
    <w:next w:val="Standard"/>
    <w:qFormat/>
    <w:pPr>
      <w:keepNext/>
      <w:keepLines/>
      <w:spacing w:before="240" w:after="64" w:line="320" w:lineRule="auto"/>
      <w:outlineLvl w:val="6"/>
    </w:pPr>
    <w:rPr>
      <w:b/>
      <w:bCs/>
      <w:szCs w:val="24"/>
    </w:rPr>
  </w:style>
  <w:style w:type="paragraph" w:styleId="berschrift8">
    <w:name w:val="heading 8"/>
    <w:basedOn w:val="Standard"/>
    <w:next w:val="Standard"/>
    <w:qFormat/>
    <w:pPr>
      <w:keepNext/>
      <w:keepLines/>
      <w:spacing w:before="240" w:after="64" w:line="320" w:lineRule="auto"/>
      <w:outlineLvl w:val="7"/>
    </w:pPr>
    <w:rPr>
      <w:rFonts w:ascii="Arial" w:eastAsia="黑体" w:hAnsi="Arial"/>
      <w:szCs w:val="24"/>
    </w:rPr>
  </w:style>
  <w:style w:type="paragraph" w:styleId="berschrift9">
    <w:name w:val="heading 9"/>
    <w:basedOn w:val="Standard"/>
    <w:next w:val="Standard"/>
    <w:qFormat/>
    <w:pPr>
      <w:keepNext/>
      <w:keepLines/>
      <w:spacing w:before="240" w:after="64" w:line="320" w:lineRule="auto"/>
      <w:outlineLvl w:val="8"/>
    </w:pPr>
    <w:rPr>
      <w:rFonts w:ascii="Arial" w:eastAsia="黑体" w:hAnsi="Arial"/>
      <w:sz w:val="21"/>
      <w:szCs w:val="21"/>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extkrper-Erstzeileneinzug2">
    <w:name w:val="Body Text First Indent 2"/>
    <w:basedOn w:val="Textkrper-Zeileneinzug"/>
    <w:next w:val="Standard"/>
    <w:link w:val="Textkrper-Erstzeileneinzug2Zchn"/>
    <w:qFormat/>
    <w:pPr>
      <w:spacing w:after="120"/>
      <w:ind w:leftChars="200" w:left="420" w:right="0" w:firstLineChars="200" w:firstLine="420"/>
    </w:pPr>
    <w:rPr>
      <w:rFonts w:ascii="Times New Roman" w:eastAsia="楷体_GB2312"/>
      <w:sz w:val="24"/>
    </w:rPr>
  </w:style>
  <w:style w:type="paragraph" w:styleId="Textkrper-Zeileneinzug">
    <w:name w:val="Body Text Indent"/>
    <w:basedOn w:val="Standard"/>
    <w:link w:val="Textkrper-ZeileneinzugZchn"/>
    <w:qFormat/>
    <w:pPr>
      <w:tabs>
        <w:tab w:val="left" w:pos="0"/>
      </w:tabs>
      <w:ind w:right="113" w:firstLine="567"/>
    </w:pPr>
    <w:rPr>
      <w:rFonts w:ascii="仿宋_GB2312" w:eastAsia="仿宋_GB2312"/>
      <w:sz w:val="28"/>
    </w:rPr>
  </w:style>
  <w:style w:type="paragraph" w:styleId="Standardeinzug">
    <w:name w:val="Normal Indent"/>
    <w:basedOn w:val="Standard"/>
    <w:link w:val="StandardeinzugZchn"/>
    <w:qFormat/>
    <w:pPr>
      <w:adjustRightInd w:val="0"/>
      <w:spacing w:line="315" w:lineRule="atLeast"/>
      <w:ind w:firstLine="420"/>
      <w:jc w:val="left"/>
      <w:textAlignment w:val="baseline"/>
    </w:pPr>
    <w:rPr>
      <w:rFonts w:ascii="宋体"/>
      <w:kern w:val="0"/>
    </w:rPr>
  </w:style>
  <w:style w:type="paragraph" w:styleId="Liste3">
    <w:name w:val="List 3"/>
    <w:basedOn w:val="Standard"/>
    <w:qFormat/>
    <w:pPr>
      <w:ind w:leftChars="400" w:left="100" w:hangingChars="200" w:hanging="200"/>
    </w:pPr>
  </w:style>
  <w:style w:type="paragraph" w:styleId="Listennummer2">
    <w:name w:val="List Number 2"/>
    <w:basedOn w:val="Standard"/>
    <w:qFormat/>
    <w:pPr>
      <w:numPr>
        <w:numId w:val="1"/>
      </w:numPr>
    </w:pPr>
  </w:style>
  <w:style w:type="paragraph" w:styleId="Fu-Endnotenberschrift">
    <w:name w:val="Note Heading"/>
    <w:basedOn w:val="Standard"/>
    <w:next w:val="Standard"/>
    <w:qFormat/>
    <w:pPr>
      <w:jc w:val="center"/>
    </w:pPr>
  </w:style>
  <w:style w:type="paragraph" w:styleId="Aufzhlungszeichen4">
    <w:name w:val="List Bullet 4"/>
    <w:basedOn w:val="Standard"/>
    <w:qFormat/>
    <w:pPr>
      <w:numPr>
        <w:numId w:val="2"/>
      </w:numPr>
    </w:pPr>
  </w:style>
  <w:style w:type="paragraph" w:styleId="E-Mail-Signatur">
    <w:name w:val="E-mail Signature"/>
    <w:basedOn w:val="Standard"/>
    <w:qFormat/>
  </w:style>
  <w:style w:type="paragraph" w:styleId="Listennummer">
    <w:name w:val="List Number"/>
    <w:basedOn w:val="Standard"/>
    <w:qFormat/>
    <w:pPr>
      <w:numPr>
        <w:numId w:val="3"/>
      </w:numPr>
    </w:pPr>
  </w:style>
  <w:style w:type="paragraph" w:styleId="Beschriftung">
    <w:name w:val="caption"/>
    <w:basedOn w:val="Standard"/>
    <w:next w:val="Standard"/>
    <w:qFormat/>
    <w:pPr>
      <w:widowControl/>
      <w:numPr>
        <w:numId w:val="4"/>
      </w:numPr>
      <w:tabs>
        <w:tab w:val="left" w:pos="7655"/>
        <w:tab w:val="left" w:pos="8280"/>
      </w:tabs>
      <w:autoSpaceDE w:val="0"/>
      <w:autoSpaceDN w:val="0"/>
      <w:textAlignment w:val="bottom"/>
    </w:pPr>
    <w:rPr>
      <w:rFonts w:ascii="仿宋_GB2312" w:eastAsia="仿宋_GB2312"/>
      <w:spacing w:val="10"/>
      <w:sz w:val="28"/>
    </w:rPr>
  </w:style>
  <w:style w:type="paragraph" w:styleId="Aufzhlungszeichen">
    <w:name w:val="List Bullet"/>
    <w:basedOn w:val="Standard"/>
    <w:qFormat/>
    <w:pPr>
      <w:numPr>
        <w:numId w:val="5"/>
      </w:numPr>
    </w:pPr>
  </w:style>
  <w:style w:type="paragraph" w:styleId="Umschlagadresse">
    <w:name w:val="envelope address"/>
    <w:basedOn w:val="Standard"/>
    <w:qFormat/>
    <w:pPr>
      <w:framePr w:w="7920" w:h="1980" w:hRule="exact" w:hSpace="180" w:wrap="around" w:hAnchor="page" w:xAlign="center" w:yAlign="bottom"/>
      <w:snapToGrid w:val="0"/>
      <w:ind w:leftChars="1400" w:left="100"/>
    </w:pPr>
    <w:rPr>
      <w:rFonts w:ascii="Arial" w:hAnsi="Arial" w:cs="Arial"/>
      <w:szCs w:val="24"/>
    </w:rPr>
  </w:style>
  <w:style w:type="paragraph" w:styleId="Dokumentstruktur">
    <w:name w:val="Document Map"/>
    <w:basedOn w:val="Standard"/>
    <w:link w:val="DokumentstrukturZchn"/>
    <w:qFormat/>
    <w:rPr>
      <w:rFonts w:ascii="宋体" w:eastAsia="宋体"/>
      <w:sz w:val="18"/>
      <w:szCs w:val="18"/>
    </w:rPr>
  </w:style>
  <w:style w:type="paragraph" w:styleId="Kommentartext">
    <w:name w:val="annotation text"/>
    <w:basedOn w:val="Standard"/>
    <w:link w:val="KommentartextZchn"/>
    <w:qFormat/>
    <w:pPr>
      <w:jc w:val="left"/>
    </w:pPr>
  </w:style>
  <w:style w:type="paragraph" w:styleId="Anrede">
    <w:name w:val="Salutation"/>
    <w:basedOn w:val="Standard"/>
    <w:next w:val="Standard"/>
    <w:qFormat/>
  </w:style>
  <w:style w:type="paragraph" w:styleId="Textkrper3">
    <w:name w:val="Body Text 3"/>
    <w:basedOn w:val="Standard"/>
    <w:qFormat/>
    <w:pPr>
      <w:adjustRightInd w:val="0"/>
      <w:spacing w:line="312" w:lineRule="atLeast"/>
      <w:textAlignment w:val="baseline"/>
    </w:pPr>
    <w:rPr>
      <w:rFonts w:ascii="宋体"/>
      <w:spacing w:val="10"/>
      <w:kern w:val="0"/>
      <w:sz w:val="32"/>
    </w:rPr>
  </w:style>
  <w:style w:type="paragraph" w:styleId="Gruformel">
    <w:name w:val="Closing"/>
    <w:basedOn w:val="Standard"/>
    <w:qFormat/>
    <w:pPr>
      <w:ind w:leftChars="2100" w:left="100"/>
    </w:pPr>
  </w:style>
  <w:style w:type="paragraph" w:styleId="Aufzhlungszeichen3">
    <w:name w:val="List Bullet 3"/>
    <w:basedOn w:val="Standard"/>
    <w:qFormat/>
    <w:pPr>
      <w:numPr>
        <w:numId w:val="6"/>
      </w:numPr>
    </w:pPr>
  </w:style>
  <w:style w:type="paragraph" w:styleId="Textkrper">
    <w:name w:val="Body Text"/>
    <w:basedOn w:val="Standard"/>
    <w:qFormat/>
    <w:pPr>
      <w:tabs>
        <w:tab w:val="left" w:pos="0"/>
      </w:tabs>
      <w:spacing w:after="120"/>
      <w:jc w:val="center"/>
    </w:pPr>
    <w:rPr>
      <w:rFonts w:ascii="仿宋_GB2312" w:eastAsia="仿宋_GB2312"/>
      <w:spacing w:val="10"/>
    </w:rPr>
  </w:style>
  <w:style w:type="paragraph" w:styleId="Listennummer3">
    <w:name w:val="List Number 3"/>
    <w:basedOn w:val="Standard"/>
    <w:qFormat/>
    <w:pPr>
      <w:numPr>
        <w:numId w:val="7"/>
      </w:numPr>
    </w:pPr>
  </w:style>
  <w:style w:type="paragraph" w:styleId="Liste2">
    <w:name w:val="List 2"/>
    <w:basedOn w:val="Standard"/>
    <w:qFormat/>
    <w:pPr>
      <w:ind w:leftChars="200" w:left="100" w:hangingChars="200" w:hanging="200"/>
    </w:pPr>
  </w:style>
  <w:style w:type="paragraph" w:styleId="Listenfortsetzung">
    <w:name w:val="List Continue"/>
    <w:basedOn w:val="Standard"/>
    <w:qFormat/>
    <w:pPr>
      <w:spacing w:after="120"/>
      <w:ind w:leftChars="200" w:left="420"/>
    </w:pPr>
  </w:style>
  <w:style w:type="paragraph" w:styleId="Blocktext">
    <w:name w:val="Block Text"/>
    <w:basedOn w:val="Standard"/>
    <w:qFormat/>
    <w:pPr>
      <w:ind w:left="420" w:right="198"/>
    </w:pPr>
    <w:rPr>
      <w:rFonts w:ascii="仿宋_GB2312" w:eastAsia="仿宋_GB2312"/>
      <w:sz w:val="28"/>
    </w:rPr>
  </w:style>
  <w:style w:type="paragraph" w:styleId="Aufzhlungszeichen2">
    <w:name w:val="List Bullet 2"/>
    <w:basedOn w:val="Standard"/>
    <w:qFormat/>
    <w:pPr>
      <w:numPr>
        <w:numId w:val="8"/>
      </w:numPr>
    </w:pPr>
  </w:style>
  <w:style w:type="paragraph" w:styleId="HTMLAdresse">
    <w:name w:val="HTML Address"/>
    <w:basedOn w:val="Standard"/>
    <w:qFormat/>
    <w:rPr>
      <w:i/>
      <w:iCs/>
    </w:rPr>
  </w:style>
  <w:style w:type="paragraph" w:styleId="NurText">
    <w:name w:val="Plain Text"/>
    <w:basedOn w:val="Standard"/>
    <w:qFormat/>
    <w:rPr>
      <w:rFonts w:ascii="宋体" w:hAnsi="Courier New"/>
    </w:rPr>
  </w:style>
  <w:style w:type="paragraph" w:styleId="Aufzhlungszeichen5">
    <w:name w:val="List Bullet 5"/>
    <w:basedOn w:val="Standard"/>
    <w:qFormat/>
    <w:pPr>
      <w:numPr>
        <w:numId w:val="9"/>
      </w:numPr>
    </w:pPr>
  </w:style>
  <w:style w:type="paragraph" w:styleId="Listennummer4">
    <w:name w:val="List Number 4"/>
    <w:basedOn w:val="Standard"/>
    <w:qFormat/>
    <w:pPr>
      <w:numPr>
        <w:numId w:val="10"/>
      </w:numPr>
    </w:pPr>
  </w:style>
  <w:style w:type="paragraph" w:styleId="Datum">
    <w:name w:val="Date"/>
    <w:basedOn w:val="Standard"/>
    <w:next w:val="Standard"/>
    <w:uiPriority w:val="99"/>
    <w:qFormat/>
    <w:pPr>
      <w:adjustRightInd w:val="0"/>
      <w:spacing w:line="312" w:lineRule="atLeast"/>
      <w:textAlignment w:val="baseline"/>
    </w:pPr>
    <w:rPr>
      <w:rFonts w:ascii="宋体"/>
      <w:kern w:val="0"/>
      <w:sz w:val="28"/>
    </w:rPr>
  </w:style>
  <w:style w:type="paragraph" w:styleId="Textkrper-Einzug2">
    <w:name w:val="Body Text Indent 2"/>
    <w:basedOn w:val="Standard"/>
    <w:link w:val="Textkrper-Einzug2Zchn"/>
    <w:qFormat/>
    <w:pPr>
      <w:tabs>
        <w:tab w:val="left" w:pos="0"/>
      </w:tabs>
      <w:adjustRightInd w:val="0"/>
      <w:spacing w:after="120"/>
      <w:ind w:right="-297" w:firstLine="555"/>
      <w:textAlignment w:val="baseline"/>
    </w:pPr>
    <w:rPr>
      <w:rFonts w:ascii="宋体"/>
      <w:kern w:val="0"/>
      <w:sz w:val="28"/>
    </w:rPr>
  </w:style>
  <w:style w:type="paragraph" w:styleId="Endnotentext">
    <w:name w:val="endnote text"/>
    <w:basedOn w:val="Standard"/>
    <w:link w:val="EndnotentextZchn"/>
    <w:qFormat/>
    <w:pPr>
      <w:snapToGrid w:val="0"/>
      <w:jc w:val="left"/>
    </w:pPr>
  </w:style>
  <w:style w:type="paragraph" w:styleId="Listenfortsetzung5">
    <w:name w:val="List Continue 5"/>
    <w:basedOn w:val="Standard"/>
    <w:qFormat/>
    <w:pPr>
      <w:spacing w:after="120"/>
      <w:ind w:leftChars="1000" w:left="2100"/>
    </w:pPr>
  </w:style>
  <w:style w:type="paragraph" w:styleId="Sprechblasentext">
    <w:name w:val="Balloon Text"/>
    <w:basedOn w:val="Standard"/>
    <w:link w:val="SprechblasentextZchn"/>
    <w:qFormat/>
    <w:pPr>
      <w:spacing w:line="240" w:lineRule="auto"/>
    </w:pPr>
    <w:rPr>
      <w:sz w:val="18"/>
      <w:szCs w:val="18"/>
    </w:rPr>
  </w:style>
  <w:style w:type="paragraph" w:styleId="Fuzeile">
    <w:name w:val="footer"/>
    <w:basedOn w:val="Standard"/>
    <w:qFormat/>
    <w:pPr>
      <w:tabs>
        <w:tab w:val="center" w:pos="4153"/>
        <w:tab w:val="right" w:pos="8306"/>
      </w:tabs>
      <w:snapToGrid w:val="0"/>
      <w:jc w:val="left"/>
    </w:pPr>
    <w:rPr>
      <w:sz w:val="18"/>
    </w:rPr>
  </w:style>
  <w:style w:type="paragraph" w:styleId="Umschlagabsenderadresse">
    <w:name w:val="envelope return"/>
    <w:basedOn w:val="Standard"/>
    <w:qFormat/>
    <w:pPr>
      <w:snapToGrid w:val="0"/>
    </w:pPr>
    <w:rPr>
      <w:rFonts w:ascii="Arial" w:hAnsi="Arial" w:cs="Arial"/>
    </w:rPr>
  </w:style>
  <w:style w:type="paragraph" w:styleId="Kopfzeile">
    <w:name w:val="header"/>
    <w:basedOn w:val="Standard"/>
    <w:qFormat/>
    <w:pPr>
      <w:pBdr>
        <w:bottom w:val="single" w:sz="6" w:space="1" w:color="auto"/>
      </w:pBdr>
      <w:tabs>
        <w:tab w:val="center" w:pos="4320"/>
        <w:tab w:val="right" w:pos="8640"/>
      </w:tabs>
      <w:adjustRightInd w:val="0"/>
      <w:spacing w:line="240" w:lineRule="atLeast"/>
      <w:jc w:val="center"/>
      <w:textAlignment w:val="baseline"/>
    </w:pPr>
    <w:rPr>
      <w:rFonts w:ascii="宋体"/>
      <w:kern w:val="0"/>
      <w:sz w:val="18"/>
    </w:rPr>
  </w:style>
  <w:style w:type="paragraph" w:styleId="Unterschrift">
    <w:name w:val="Signature"/>
    <w:basedOn w:val="Standard"/>
    <w:qFormat/>
    <w:pPr>
      <w:ind w:leftChars="2100" w:left="100"/>
    </w:pPr>
  </w:style>
  <w:style w:type="paragraph" w:styleId="Verzeichnis1">
    <w:name w:val="toc 1"/>
    <w:basedOn w:val="Standard"/>
    <w:next w:val="Standard"/>
    <w:uiPriority w:val="39"/>
    <w:qFormat/>
    <w:pPr>
      <w:tabs>
        <w:tab w:val="right" w:leader="dot" w:pos="8505"/>
      </w:tabs>
      <w:spacing w:before="120" w:after="120"/>
      <w:ind w:firstLine="0"/>
      <w:jc w:val="center"/>
    </w:pPr>
    <w:rPr>
      <w:rFonts w:ascii="仿宋" w:eastAsia="仿宋" w:hAnsi="仿宋"/>
      <w:b/>
      <w:bCs/>
      <w:szCs w:val="24"/>
    </w:rPr>
  </w:style>
  <w:style w:type="paragraph" w:styleId="Listenfortsetzung4">
    <w:name w:val="List Continue 4"/>
    <w:basedOn w:val="Standard"/>
    <w:qFormat/>
    <w:pPr>
      <w:spacing w:after="120"/>
      <w:ind w:leftChars="800" w:left="1680"/>
    </w:pPr>
  </w:style>
  <w:style w:type="paragraph" w:styleId="Untertitel">
    <w:name w:val="Subtitle"/>
    <w:basedOn w:val="Standard"/>
    <w:qFormat/>
    <w:pPr>
      <w:spacing w:before="240" w:after="60" w:line="312" w:lineRule="auto"/>
      <w:jc w:val="center"/>
      <w:outlineLvl w:val="1"/>
    </w:pPr>
    <w:rPr>
      <w:rFonts w:ascii="Arial" w:eastAsia="宋体" w:hAnsi="Arial" w:cs="Arial"/>
      <w:b/>
      <w:bCs/>
      <w:kern w:val="28"/>
      <w:sz w:val="32"/>
      <w:szCs w:val="32"/>
    </w:rPr>
  </w:style>
  <w:style w:type="paragraph" w:styleId="Listennummer5">
    <w:name w:val="List Number 5"/>
    <w:basedOn w:val="Standard"/>
    <w:qFormat/>
    <w:pPr>
      <w:numPr>
        <w:numId w:val="11"/>
      </w:numPr>
    </w:pPr>
  </w:style>
  <w:style w:type="paragraph" w:styleId="Liste">
    <w:name w:val="List"/>
    <w:basedOn w:val="Standard"/>
    <w:qFormat/>
    <w:pPr>
      <w:ind w:left="200" w:hangingChars="200" w:hanging="200"/>
    </w:pPr>
  </w:style>
  <w:style w:type="paragraph" w:styleId="Liste5">
    <w:name w:val="List 5"/>
    <w:basedOn w:val="Standard"/>
    <w:qFormat/>
    <w:pPr>
      <w:ind w:leftChars="800" w:left="100" w:hangingChars="200" w:hanging="200"/>
    </w:pPr>
  </w:style>
  <w:style w:type="paragraph" w:styleId="Textkrper-Einzug3">
    <w:name w:val="Body Text Indent 3"/>
    <w:basedOn w:val="Standard"/>
    <w:link w:val="Textkrper-Einzug3Zchn"/>
    <w:qFormat/>
    <w:pPr>
      <w:adjustRightInd w:val="0"/>
      <w:ind w:firstLine="425"/>
      <w:textAlignment w:val="baseline"/>
    </w:pPr>
    <w:rPr>
      <w:rFonts w:ascii="仿宋_GB2312" w:eastAsia="仿宋_GB2312"/>
      <w:kern w:val="0"/>
      <w:sz w:val="28"/>
    </w:rPr>
  </w:style>
  <w:style w:type="paragraph" w:styleId="Verzeichnis2">
    <w:name w:val="toc 2"/>
    <w:basedOn w:val="Standard"/>
    <w:next w:val="Standard"/>
    <w:uiPriority w:val="39"/>
    <w:qFormat/>
    <w:pPr>
      <w:tabs>
        <w:tab w:val="left" w:pos="1050"/>
        <w:tab w:val="right" w:leader="dot" w:pos="8505"/>
      </w:tabs>
      <w:spacing w:after="120"/>
    </w:pPr>
    <w:rPr>
      <w:rFonts w:eastAsia="仿宋_GB2312"/>
    </w:rPr>
  </w:style>
  <w:style w:type="paragraph" w:styleId="Textkrper2">
    <w:name w:val="Body Text 2"/>
    <w:basedOn w:val="Standard"/>
    <w:qFormat/>
    <w:pPr>
      <w:ind w:firstLine="0"/>
    </w:pPr>
    <w:rPr>
      <w:rFonts w:eastAsia="仿宋_GB2312"/>
      <w:b/>
      <w:spacing w:val="10"/>
    </w:rPr>
  </w:style>
  <w:style w:type="paragraph" w:styleId="Liste4">
    <w:name w:val="List 4"/>
    <w:basedOn w:val="Standard"/>
    <w:qFormat/>
    <w:pPr>
      <w:ind w:leftChars="600" w:left="100" w:hangingChars="200" w:hanging="200"/>
    </w:pPr>
  </w:style>
  <w:style w:type="paragraph" w:styleId="Listenfortsetzung2">
    <w:name w:val="List Continue 2"/>
    <w:basedOn w:val="Standard"/>
    <w:qFormat/>
    <w:pPr>
      <w:spacing w:after="120"/>
      <w:ind w:leftChars="400" w:left="840"/>
    </w:pPr>
  </w:style>
  <w:style w:type="paragraph" w:styleId="Nachrichtenkopf">
    <w:name w:val="Message Header"/>
    <w:basedOn w:val="Standard"/>
    <w:qFormat/>
    <w:pPr>
      <w:pBdr>
        <w:top w:val="single" w:sz="6" w:space="1" w:color="auto"/>
        <w:left w:val="single" w:sz="6" w:space="1" w:color="auto"/>
        <w:bottom w:val="single" w:sz="6" w:space="1" w:color="auto"/>
        <w:right w:val="single" w:sz="6" w:space="1" w:color="auto"/>
      </w:pBdr>
      <w:shd w:val="pct20" w:color="auto" w:fill="auto"/>
      <w:ind w:leftChars="500" w:left="1080" w:hangingChars="500" w:hanging="1080"/>
    </w:pPr>
    <w:rPr>
      <w:rFonts w:ascii="Arial" w:hAnsi="Arial" w:cs="Arial"/>
      <w:szCs w:val="24"/>
    </w:rPr>
  </w:style>
  <w:style w:type="paragraph" w:styleId="HTMLVorformatiert">
    <w:name w:val="HTML Preformatted"/>
    <w:basedOn w:val="Standard"/>
    <w:qFormat/>
    <w:rPr>
      <w:rFonts w:ascii="Courier New" w:hAnsi="Courier New" w:cs="Courier New"/>
      <w:sz w:val="20"/>
    </w:rPr>
  </w:style>
  <w:style w:type="paragraph" w:styleId="StandardWeb">
    <w:name w:val="Normal (Web)"/>
    <w:basedOn w:val="Standard"/>
    <w:qFormat/>
    <w:pPr>
      <w:widowControl/>
      <w:spacing w:before="100" w:after="100"/>
      <w:jc w:val="left"/>
    </w:pPr>
    <w:rPr>
      <w:rFonts w:ascii="宋体" w:hAnsi="宋体" w:hint="eastAsia"/>
      <w:kern w:val="0"/>
    </w:rPr>
  </w:style>
  <w:style w:type="paragraph" w:styleId="Listenfortsetzung3">
    <w:name w:val="List Continue 3"/>
    <w:basedOn w:val="Standard"/>
    <w:qFormat/>
    <w:pPr>
      <w:spacing w:after="120"/>
      <w:ind w:leftChars="600" w:left="1260"/>
    </w:pPr>
  </w:style>
  <w:style w:type="paragraph" w:styleId="Index1">
    <w:name w:val="index 1"/>
    <w:basedOn w:val="Standard"/>
    <w:next w:val="Standard"/>
    <w:semiHidden/>
    <w:qFormat/>
    <w:pPr>
      <w:ind w:firstLine="0"/>
    </w:pPr>
  </w:style>
  <w:style w:type="paragraph" w:styleId="Titel">
    <w:name w:val="Title"/>
    <w:basedOn w:val="Standard"/>
    <w:qFormat/>
    <w:pPr>
      <w:spacing w:before="240" w:after="60"/>
      <w:jc w:val="center"/>
      <w:outlineLvl w:val="0"/>
    </w:pPr>
    <w:rPr>
      <w:rFonts w:ascii="Arial" w:eastAsia="宋体" w:hAnsi="Arial" w:cs="Arial"/>
      <w:b/>
      <w:bCs/>
      <w:sz w:val="32"/>
      <w:szCs w:val="32"/>
    </w:rPr>
  </w:style>
  <w:style w:type="paragraph" w:styleId="Kommentarthema">
    <w:name w:val="annotation subject"/>
    <w:basedOn w:val="Kommentartext"/>
    <w:next w:val="Kommentartext"/>
    <w:link w:val="KommentarthemaZchn"/>
    <w:qFormat/>
    <w:rPr>
      <w:b/>
      <w:bCs/>
    </w:rPr>
  </w:style>
  <w:style w:type="paragraph" w:styleId="Textkrper-Erstzeileneinzug">
    <w:name w:val="Body Text First Indent"/>
    <w:basedOn w:val="Textkrper"/>
    <w:qFormat/>
    <w:pPr>
      <w:ind w:firstLineChars="100" w:firstLine="420"/>
      <w:jc w:val="both"/>
    </w:pPr>
    <w:rPr>
      <w:rFonts w:ascii="Times New Roman" w:eastAsia="楷体_GB2312"/>
      <w:spacing w:val="0"/>
    </w:rPr>
  </w:style>
  <w:style w:type="table" w:styleId="Tabellenraster">
    <w:name w:val="Table Grid"/>
    <w:basedOn w:val="NormaleTabelle"/>
    <w:qFormat/>
    <w:pPr>
      <w:widowControl w:val="0"/>
      <w:spacing w:line="360" w:lineRule="auto"/>
      <w:ind w:firstLine="52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leEinfach1">
    <w:name w:val="Table Simple 1"/>
    <w:basedOn w:val="NormaleTabelle"/>
    <w:qFormat/>
    <w:pPr>
      <w:widowControl w:val="0"/>
      <w:spacing w:line="360" w:lineRule="auto"/>
      <w:ind w:firstLine="527"/>
      <w:jc w:val="both"/>
    </w:pPr>
    <w:tblPr>
      <w:tblBorders>
        <w:top w:val="single" w:sz="12" w:space="0" w:color="008000"/>
        <w:bottom w:val="single" w:sz="12" w:space="0" w:color="008000"/>
      </w:tblBorders>
    </w:tblPr>
    <w:tcPr>
      <w:shd w:val="clear" w:color="auto" w:fill="auto"/>
    </w:tcPr>
    <w:tblStylePr w:type="firstRow">
      <w:tblPr/>
      <w:tcPr>
        <w:tcBorders>
          <w:top w:val="nil"/>
          <w:left w:val="nil"/>
          <w:bottom w:val="single" w:sz="6" w:space="0" w:color="008000"/>
          <w:right w:val="nil"/>
          <w:insideH w:val="nil"/>
          <w:insideV w:val="nil"/>
          <w:tl2br w:val="nil"/>
          <w:tr2bl w:val="nil"/>
        </w:tcBorders>
      </w:tcPr>
    </w:tblStylePr>
    <w:tblStylePr w:type="lastRow">
      <w:tblPr/>
      <w:tcPr>
        <w:tcBorders>
          <w:top w:val="single" w:sz="6" w:space="0" w:color="008000"/>
          <w:left w:val="nil"/>
          <w:bottom w:val="nil"/>
          <w:right w:val="nil"/>
          <w:insideH w:val="nil"/>
          <w:insideV w:val="nil"/>
          <w:tl2br w:val="nil"/>
          <w:tr2bl w:val="nil"/>
        </w:tcBorders>
      </w:tcPr>
    </w:tblStylePr>
  </w:style>
  <w:style w:type="character" w:styleId="Fett">
    <w:name w:val="Strong"/>
    <w:qFormat/>
    <w:rPr>
      <w:b/>
      <w:bCs/>
    </w:rPr>
  </w:style>
  <w:style w:type="character" w:styleId="Endnotenzeichen">
    <w:name w:val="endnote reference"/>
    <w:basedOn w:val="Absatz-Standardschriftart"/>
    <w:qFormat/>
    <w:rPr>
      <w:vertAlign w:val="superscript"/>
    </w:rPr>
  </w:style>
  <w:style w:type="character" w:styleId="Seitenzahl">
    <w:name w:val="page number"/>
    <w:basedOn w:val="Absatz-Standardschriftart"/>
    <w:qFormat/>
  </w:style>
  <w:style w:type="character" w:styleId="BesuchterLink">
    <w:name w:val="FollowedHyperlink"/>
    <w:qFormat/>
    <w:rPr>
      <w:color w:val="800080"/>
      <w:u w:val="single"/>
    </w:rPr>
  </w:style>
  <w:style w:type="character" w:styleId="Hyperlink">
    <w:name w:val="Hyperlink"/>
    <w:uiPriority w:val="99"/>
    <w:qFormat/>
    <w:rPr>
      <w:color w:val="0000FF"/>
      <w:u w:val="single"/>
    </w:rPr>
  </w:style>
  <w:style w:type="character" w:styleId="Kommentarzeichen">
    <w:name w:val="annotation reference"/>
    <w:qFormat/>
    <w:rPr>
      <w:sz w:val="21"/>
    </w:rPr>
  </w:style>
  <w:style w:type="character" w:customStyle="1" w:styleId="unnamed5">
    <w:name w:val="unnamed5"/>
    <w:basedOn w:val="Absatz-Standardschriftart"/>
    <w:qFormat/>
  </w:style>
  <w:style w:type="character" w:customStyle="1" w:styleId="content1">
    <w:name w:val="content1"/>
    <w:qFormat/>
    <w:rPr>
      <w:rFonts w:ascii="Arial" w:hAnsi="Arial" w:cs="Arial" w:hint="default"/>
      <w:sz w:val="21"/>
      <w:szCs w:val="21"/>
    </w:rPr>
  </w:style>
  <w:style w:type="character" w:customStyle="1" w:styleId="SprechblasentextZchn">
    <w:name w:val="Sprechblasentext Zchn"/>
    <w:link w:val="Sprechblasentext"/>
    <w:qFormat/>
    <w:rPr>
      <w:rFonts w:eastAsia="楷体_GB2312"/>
      <w:kern w:val="2"/>
      <w:sz w:val="18"/>
      <w:szCs w:val="18"/>
    </w:rPr>
  </w:style>
  <w:style w:type="character" w:customStyle="1" w:styleId="zwChar">
    <w:name w:val="zw Char"/>
    <w:link w:val="zw"/>
    <w:qFormat/>
    <w:rPr>
      <w:rFonts w:ascii="Arial Narrow" w:eastAsia="楷体_GB2312" w:hAnsi="Arial Narrow"/>
      <w:sz w:val="24"/>
    </w:rPr>
  </w:style>
  <w:style w:type="paragraph" w:customStyle="1" w:styleId="zw">
    <w:name w:val="zw"/>
    <w:basedOn w:val="Standard"/>
    <w:link w:val="zwChar"/>
    <w:qFormat/>
    <w:pPr>
      <w:adjustRightInd w:val="0"/>
      <w:ind w:firstLine="482"/>
      <w:textAlignment w:val="baseline"/>
    </w:pPr>
    <w:rPr>
      <w:rFonts w:ascii="Arial Narrow" w:hAnsi="Arial Narrow"/>
      <w:kern w:val="0"/>
    </w:rPr>
  </w:style>
  <w:style w:type="character" w:customStyle="1" w:styleId="DokumentstrukturZchn">
    <w:name w:val="Dokumentstruktur Zchn"/>
    <w:link w:val="Dokumentstruktur"/>
    <w:qFormat/>
    <w:rPr>
      <w:rFonts w:ascii="宋体"/>
      <w:kern w:val="2"/>
      <w:sz w:val="18"/>
      <w:szCs w:val="18"/>
    </w:rPr>
  </w:style>
  <w:style w:type="character" w:customStyle="1" w:styleId="KommentarthemaZchn">
    <w:name w:val="Kommentarthema Zchn"/>
    <w:link w:val="Kommentarthema"/>
    <w:qFormat/>
    <w:rPr>
      <w:rFonts w:eastAsia="楷体_GB2312"/>
      <w:b/>
      <w:bCs/>
      <w:kern w:val="2"/>
      <w:sz w:val="24"/>
    </w:rPr>
  </w:style>
  <w:style w:type="character" w:customStyle="1" w:styleId="Textkrper-Einzug2Zchn">
    <w:name w:val="Textkörper-Einzug 2 Zchn"/>
    <w:link w:val="Textkrper-Einzug2"/>
    <w:qFormat/>
    <w:rPr>
      <w:rFonts w:ascii="宋体" w:eastAsia="楷体_GB2312"/>
      <w:sz w:val="28"/>
    </w:rPr>
  </w:style>
  <w:style w:type="character" w:customStyle="1" w:styleId="KommentartextZchn">
    <w:name w:val="Kommentartext Zchn"/>
    <w:link w:val="Kommentartext"/>
    <w:qFormat/>
    <w:rPr>
      <w:rFonts w:eastAsia="楷体_GB2312"/>
      <w:kern w:val="2"/>
      <w:sz w:val="24"/>
    </w:rPr>
  </w:style>
  <w:style w:type="character" w:customStyle="1" w:styleId="StandardeinzugZchn">
    <w:name w:val="Standardeinzug Zchn"/>
    <w:link w:val="Standardeinzug"/>
    <w:qFormat/>
    <w:rPr>
      <w:rFonts w:ascii="宋体" w:eastAsia="楷体_GB2312"/>
      <w:sz w:val="24"/>
      <w:lang w:val="en-US" w:eastAsia="zh-CN" w:bidi="ar-SA"/>
    </w:rPr>
  </w:style>
  <w:style w:type="character" w:customStyle="1" w:styleId="Textkrper-Einzug3Zchn">
    <w:name w:val="Textkörper-Einzug 3 Zchn"/>
    <w:link w:val="Textkrper-Einzug3"/>
    <w:qFormat/>
    <w:rPr>
      <w:rFonts w:ascii="仿宋_GB2312" w:eastAsia="仿宋_GB2312"/>
      <w:sz w:val="28"/>
    </w:rPr>
  </w:style>
  <w:style w:type="character" w:customStyle="1" w:styleId="Textkrper-ZeileneinzugZchn">
    <w:name w:val="Textkörper-Zeileneinzug Zchn"/>
    <w:link w:val="Textkrper-Zeileneinzug"/>
    <w:qFormat/>
    <w:rPr>
      <w:rFonts w:ascii="仿宋_GB2312" w:eastAsia="仿宋_GB2312"/>
      <w:kern w:val="2"/>
      <w:sz w:val="28"/>
    </w:rPr>
  </w:style>
  <w:style w:type="paragraph" w:customStyle="1" w:styleId="31">
    <w:name w:val="正文文本缩进 31"/>
    <w:basedOn w:val="Standard"/>
    <w:qFormat/>
    <w:pPr>
      <w:adjustRightInd w:val="0"/>
      <w:ind w:firstLine="425"/>
      <w:jc w:val="left"/>
      <w:textAlignment w:val="baseline"/>
    </w:pPr>
    <w:rPr>
      <w:rFonts w:ascii="仿宋_GB2312" w:eastAsia="仿宋_GB2312"/>
      <w:kern w:val="0"/>
      <w:sz w:val="28"/>
    </w:rPr>
  </w:style>
  <w:style w:type="paragraph" w:customStyle="1" w:styleId="Default">
    <w:name w:val="Default"/>
    <w:qFormat/>
    <w:pPr>
      <w:widowControl w:val="0"/>
      <w:autoSpaceDE w:val="0"/>
      <w:autoSpaceDN w:val="0"/>
      <w:adjustRightInd w:val="0"/>
    </w:pPr>
    <w:rPr>
      <w:rFonts w:ascii="宋体" w:cs="宋体"/>
      <w:color w:val="000000"/>
      <w:sz w:val="24"/>
      <w:szCs w:val="24"/>
    </w:rPr>
  </w:style>
  <w:style w:type="paragraph" w:customStyle="1" w:styleId="Char">
    <w:name w:val="Char"/>
    <w:basedOn w:val="Standard"/>
    <w:qFormat/>
    <w:pPr>
      <w:spacing w:line="240" w:lineRule="auto"/>
      <w:ind w:firstLine="0"/>
    </w:pPr>
    <w:rPr>
      <w:rFonts w:ascii="Tahoma" w:eastAsia="宋体" w:hAnsi="Tahoma"/>
    </w:rPr>
  </w:style>
  <w:style w:type="paragraph" w:customStyle="1" w:styleId="Char4">
    <w:name w:val="Char4"/>
    <w:basedOn w:val="Standard"/>
    <w:qFormat/>
    <w:pPr>
      <w:spacing w:line="240" w:lineRule="auto"/>
      <w:ind w:firstLine="0"/>
    </w:pPr>
    <w:rPr>
      <w:rFonts w:ascii="Tahoma" w:eastAsia="宋体" w:hAnsi="Tahoma"/>
    </w:rPr>
  </w:style>
  <w:style w:type="paragraph" w:customStyle="1" w:styleId="21">
    <w:name w:val="正文文本 21"/>
    <w:basedOn w:val="Standard"/>
    <w:qFormat/>
    <w:pPr>
      <w:tabs>
        <w:tab w:val="left" w:pos="0"/>
      </w:tabs>
      <w:adjustRightInd w:val="0"/>
      <w:ind w:right="113" w:firstLine="567"/>
      <w:jc w:val="left"/>
      <w:textAlignment w:val="baseline"/>
    </w:pPr>
    <w:rPr>
      <w:rFonts w:ascii="仿宋_GB2312" w:eastAsia="仿宋_GB2312"/>
      <w:sz w:val="28"/>
    </w:rPr>
  </w:style>
  <w:style w:type="paragraph" w:customStyle="1" w:styleId="ParaCharCharCharCharCharCharChar">
    <w:name w:val="默认段落字体 Para Char Char Char Char Char Char Char"/>
    <w:basedOn w:val="Standard"/>
    <w:qFormat/>
    <w:pPr>
      <w:spacing w:line="240" w:lineRule="auto"/>
      <w:ind w:firstLine="0"/>
    </w:pPr>
    <w:rPr>
      <w:rFonts w:ascii="Tahoma" w:eastAsia="宋体" w:hAnsi="Tahoma"/>
    </w:rPr>
  </w:style>
  <w:style w:type="paragraph" w:customStyle="1" w:styleId="ParaChar">
    <w:name w:val="默认段落字体 Para Char"/>
    <w:basedOn w:val="Standard"/>
    <w:qFormat/>
    <w:pPr>
      <w:tabs>
        <w:tab w:val="left" w:pos="1125"/>
      </w:tabs>
      <w:spacing w:line="240" w:lineRule="auto"/>
      <w:ind w:left="1125" w:hanging="555"/>
    </w:pPr>
    <w:rPr>
      <w:rFonts w:eastAsia="宋体"/>
      <w:szCs w:val="24"/>
    </w:rPr>
  </w:style>
  <w:style w:type="paragraph" w:customStyle="1" w:styleId="210">
    <w:name w:val="正文文本缩进 21"/>
    <w:basedOn w:val="Standard"/>
    <w:qFormat/>
    <w:pPr>
      <w:tabs>
        <w:tab w:val="left" w:pos="0"/>
      </w:tabs>
      <w:adjustRightInd w:val="0"/>
      <w:spacing w:after="120"/>
      <w:ind w:right="-297" w:firstLine="555"/>
      <w:jc w:val="left"/>
      <w:textAlignment w:val="baseline"/>
    </w:pPr>
    <w:rPr>
      <w:rFonts w:ascii="宋体"/>
      <w:kern w:val="0"/>
      <w:sz w:val="28"/>
    </w:rPr>
  </w:style>
  <w:style w:type="paragraph" w:customStyle="1" w:styleId="1">
    <w:name w:val="样式1"/>
    <w:basedOn w:val="Fuzeile"/>
    <w:qFormat/>
    <w:pPr>
      <w:pBdr>
        <w:top w:val="single" w:sz="4" w:space="1" w:color="auto"/>
      </w:pBdr>
      <w:ind w:right="360" w:firstLine="0"/>
    </w:pPr>
  </w:style>
  <w:style w:type="paragraph" w:customStyle="1" w:styleId="10">
    <w:name w:val="日期1"/>
    <w:basedOn w:val="Standard"/>
    <w:next w:val="Standard"/>
    <w:qFormat/>
    <w:pPr>
      <w:adjustRightInd w:val="0"/>
      <w:spacing w:line="312" w:lineRule="atLeast"/>
      <w:jc w:val="left"/>
      <w:textAlignment w:val="baseline"/>
    </w:pPr>
    <w:rPr>
      <w:rFonts w:ascii="宋体"/>
      <w:kern w:val="0"/>
      <w:sz w:val="28"/>
    </w:rPr>
  </w:style>
  <w:style w:type="paragraph" w:customStyle="1" w:styleId="1Char">
    <w:name w:val="1 Char"/>
    <w:basedOn w:val="Standard"/>
    <w:qFormat/>
    <w:pPr>
      <w:spacing w:line="240" w:lineRule="auto"/>
      <w:ind w:firstLine="0"/>
    </w:pPr>
    <w:rPr>
      <w:rFonts w:ascii="Tahoma" w:eastAsia="宋体" w:hAnsi="Tahoma"/>
    </w:rPr>
  </w:style>
  <w:style w:type="table" w:customStyle="1" w:styleId="11">
    <w:name w:val="网格型1"/>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
    <w:name w:val="网格型2"/>
    <w:basedOn w:val="NormaleTabelle"/>
    <w:uiPriority w:val="59"/>
    <w:qFormat/>
    <w:rPr>
      <w:rFonts w:ascii="Calibri" w:hAnsi="Calibri"/>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enabsatz">
    <w:name w:val="List Paragraph"/>
    <w:basedOn w:val="Standard"/>
    <w:uiPriority w:val="34"/>
    <w:qFormat/>
    <w:pPr>
      <w:ind w:firstLineChars="200" w:firstLine="420"/>
    </w:pPr>
  </w:style>
  <w:style w:type="character" w:customStyle="1" w:styleId="EndnotentextZchn">
    <w:name w:val="Endnotentext Zchn"/>
    <w:basedOn w:val="Absatz-Standardschriftart"/>
    <w:link w:val="Endnotentext"/>
    <w:qFormat/>
    <w:rPr>
      <w:rFonts w:eastAsia="楷体_GB2312"/>
      <w:kern w:val="2"/>
      <w:sz w:val="24"/>
    </w:rPr>
  </w:style>
  <w:style w:type="character" w:customStyle="1" w:styleId="font81">
    <w:name w:val="font81"/>
    <w:basedOn w:val="Absatz-Standardschriftart"/>
    <w:qFormat/>
    <w:rPr>
      <w:rFonts w:ascii="Times New Roman" w:hAnsi="Times New Roman" w:cs="Times New Roman" w:hint="default"/>
      <w:color w:val="000000"/>
      <w:sz w:val="18"/>
      <w:szCs w:val="18"/>
      <w:u w:val="none"/>
    </w:rPr>
  </w:style>
  <w:style w:type="character" w:customStyle="1" w:styleId="font51">
    <w:name w:val="font51"/>
    <w:basedOn w:val="Absatz-Standardschriftart"/>
    <w:qFormat/>
    <w:rPr>
      <w:rFonts w:ascii="宋体" w:eastAsia="宋体" w:hAnsi="宋体" w:cs="宋体" w:hint="eastAsia"/>
      <w:color w:val="000000"/>
      <w:sz w:val="18"/>
      <w:szCs w:val="18"/>
      <w:u w:val="none"/>
    </w:rPr>
  </w:style>
  <w:style w:type="character" w:customStyle="1" w:styleId="font41">
    <w:name w:val="font41"/>
    <w:basedOn w:val="Absatz-Standardschriftart"/>
    <w:qFormat/>
    <w:rPr>
      <w:rFonts w:ascii="宋体" w:eastAsia="宋体" w:hAnsi="宋体" w:cs="宋体" w:hint="eastAsia"/>
      <w:color w:val="000000"/>
      <w:sz w:val="18"/>
      <w:szCs w:val="18"/>
      <w:u w:val="none"/>
    </w:rPr>
  </w:style>
  <w:style w:type="character" w:customStyle="1" w:styleId="font71">
    <w:name w:val="font71"/>
    <w:basedOn w:val="Absatz-Standardschriftart"/>
    <w:qFormat/>
    <w:rPr>
      <w:rFonts w:ascii="Times New Roman" w:hAnsi="Times New Roman" w:cs="Times New Roman" w:hint="default"/>
      <w:color w:val="000000"/>
      <w:sz w:val="18"/>
      <w:szCs w:val="18"/>
      <w:u w:val="none"/>
    </w:rPr>
  </w:style>
  <w:style w:type="character" w:customStyle="1" w:styleId="font11">
    <w:name w:val="font11"/>
    <w:basedOn w:val="Absatz-Standardschriftart"/>
    <w:qFormat/>
    <w:rPr>
      <w:rFonts w:ascii="宋体" w:eastAsia="宋体" w:hAnsi="宋体" w:cs="宋体" w:hint="eastAsia"/>
      <w:color w:val="000000"/>
      <w:sz w:val="18"/>
      <w:szCs w:val="18"/>
      <w:u w:val="none"/>
    </w:rPr>
  </w:style>
  <w:style w:type="character" w:customStyle="1" w:styleId="font31">
    <w:name w:val="font31"/>
    <w:basedOn w:val="Absatz-Standardschriftart"/>
    <w:qFormat/>
    <w:rPr>
      <w:rFonts w:ascii="Times New Roman" w:hAnsi="Times New Roman" w:cs="Times New Roman" w:hint="default"/>
      <w:color w:val="000000"/>
      <w:sz w:val="18"/>
      <w:szCs w:val="18"/>
      <w:u w:val="none"/>
    </w:rPr>
  </w:style>
  <w:style w:type="character" w:customStyle="1" w:styleId="Textkrper-Erstzeileneinzug2Zchn">
    <w:name w:val="Textkörper-Erstzeileneinzug 2 Zchn"/>
    <w:link w:val="Textkrper-Erstzeileneinzug2"/>
    <w:qFormat/>
    <w:rPr>
      <w:rFonts w:ascii="楷体_GB2312" w:eastAsia="楷体_GB2312" w:cs="楷体_GB2312" w:hint="eastAsia"/>
      <w:kern w:val="2"/>
      <w:sz w:val="24"/>
    </w:rPr>
  </w:style>
  <w:style w:type="character" w:customStyle="1" w:styleId="font01">
    <w:name w:val="font01"/>
    <w:basedOn w:val="Absatz-Standardschriftart"/>
    <w:qFormat/>
    <w:rPr>
      <w:rFonts w:ascii="宋体" w:eastAsia="宋体" w:hAnsi="宋体" w:cs="宋体"/>
      <w:color w:val="000000"/>
      <w:sz w:val="24"/>
      <w:szCs w:val="24"/>
      <w:u w:val="none"/>
    </w:rPr>
  </w:style>
  <w:style w:type="paragraph" w:customStyle="1" w:styleId="20">
    <w:name w:val="立信附注正文 [2级]"/>
    <w:qFormat/>
    <w:pPr>
      <w:widowControl w:val="0"/>
      <w:tabs>
        <w:tab w:val="left" w:pos="0"/>
      </w:tabs>
      <w:adjustRightInd w:val="0"/>
      <w:snapToGrid w:val="0"/>
      <w:spacing w:line="400" w:lineRule="atLeast"/>
      <w:ind w:left="714"/>
      <w:jc w:val="both"/>
    </w:pPr>
    <w:rPr>
      <w:color w:val="000000"/>
      <w:kern w:val="2"/>
      <w:sz w:val="21"/>
      <w:szCs w:val="21"/>
    </w:rPr>
  </w:style>
  <w:style w:type="character" w:customStyle="1" w:styleId="font21">
    <w:name w:val="font21"/>
    <w:basedOn w:val="Absatz-Standardschriftart"/>
    <w:qFormat/>
    <w:rPr>
      <w:rFonts w:ascii="Times New Roman" w:hAnsi="Times New Roman" w:cs="Times New Roman" w:hint="default"/>
      <w:color w:val="000000"/>
      <w:sz w:val="20"/>
      <w:szCs w:val="20"/>
      <w:u w:val="none"/>
    </w:rPr>
  </w:style>
  <w:style w:type="paragraph" w:customStyle="1" w:styleId="TableText">
    <w:name w:val="Table Text"/>
    <w:basedOn w:val="Standard"/>
    <w:semiHidden/>
    <w:qFormat/>
    <w:rPr>
      <w:rFonts w:ascii="宋体" w:eastAsia="宋体" w:hAnsi="宋体" w:cs="宋体"/>
      <w:sz w:val="19"/>
      <w:szCs w:val="19"/>
      <w:lang w:eastAsia="en-US"/>
    </w:rPr>
  </w:style>
  <w:style w:type="table" w:customStyle="1" w:styleId="TableNormal">
    <w:name w:val="Table Normal"/>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4.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16</Pages>
  <Words>1513</Words>
  <Characters>8626</Characters>
  <Application>Microsoft Office Word</Application>
  <DocSecurity>0</DocSecurity>
  <Lines>71</Lines>
  <Paragraphs>20</Paragraphs>
  <ScaleCrop>false</ScaleCrop>
  <Company>北京京都会计师事务所</Company>
  <LinksUpToDate>false</LinksUpToDate>
  <CharactersWithSpaces>10119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Jiali Wang</cp:lastModifiedBy>
  <cp:revision>2</cp:revision>
  <cp:lastPrinted>2025-04-14T01:44:00Z</cp:lastPrinted>
  <dcterms:created xsi:type="dcterms:W3CDTF">2018-05-23T19:35:00Z</dcterms:created>
  <dcterms:modified xsi:type="dcterms:W3CDTF">2026-06-25T13:59:00Z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2052-12.1.0.15712</vt:lpwstr>
  </property>
  <property fmtid="{D5CDD505-2E9C-101B-9397-08002B2CF9AE}" pid="3" name="ICV">
    <vt:lpwstr>3B0D673F1F434C0FA465243B46B94D26_13</vt:lpwstr>
  </property>
  <property fmtid="{D5CDD505-2E9C-101B-9397-08002B2CF9AE}" pid="4" name="KSOTemplateDocerSaveRecord">
    <vt:lpwstr>eyJoZGlkIjoiODAxY2ZhNTAwMTk3YzMzZDIxY2IzMjgzNDRjNzI2ZGQiLCJ1c2VySWQiOiIzMDQ0MzY5NDcifQ==</vt:lpwstr>
  </property>
</Properties>
</file>