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0224" w14:textId="2AFDBBB5" w:rsidR="008A6F21" w:rsidRDefault="008A6F21">
      <w:pPr>
        <w:rPr>
          <w:rFonts w:ascii="Times New Roman" w:hAnsi="Times New Roman" w:cs="Times New Roman"/>
        </w:rPr>
      </w:pPr>
      <w:r w:rsidRPr="008A6F21">
        <w:rPr>
          <w:rFonts w:ascii="Times New Roman" w:hAnsi="Times New Roman" w:cs="Times New Roman"/>
        </w:rPr>
        <w:t>#3</w:t>
      </w:r>
      <w:r w:rsidRPr="008A6F21">
        <w:rPr>
          <w:rFonts w:ascii="Times New Roman" w:hAnsi="Times New Roman" w:cs="Times New Roman"/>
        </w:rPr>
        <w:t>：总资产周转率</w:t>
      </w:r>
      <w:r w:rsidRPr="008A6F2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Asset Turnover Ratio</w:t>
      </w:r>
      <w:r w:rsidRPr="008A6F2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Revenue / Avg Total Asset;</w:t>
      </w:r>
    </w:p>
    <w:p w14:paraId="6316E36C" w14:textId="2C54781B" w:rsidR="008A6F21" w:rsidRDefault="008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RDS: REVT/AT (avg)</w:t>
      </w:r>
    </w:p>
    <w:p w14:paraId="539C123C" w14:textId="257470EC" w:rsidR="008A6F21" w:rsidRDefault="008A6F21">
      <w:pPr>
        <w:rPr>
          <w:rFonts w:ascii="Times New Roman" w:hAnsi="Times New Roman" w:cs="Times New Roman" w:hint="eastAsia"/>
        </w:rPr>
      </w:pPr>
    </w:p>
    <w:p w14:paraId="7F1CE180" w14:textId="66BFEF8B" w:rsidR="008A6F21" w:rsidRDefault="008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5: </w:t>
      </w:r>
      <w:r>
        <w:rPr>
          <w:rFonts w:ascii="Times New Roman" w:hAnsi="Times New Roman" w:cs="Times New Roman" w:hint="eastAsia"/>
        </w:rPr>
        <w:t>经营活动净收益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利润总额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Gross Profit Margin)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Sales-COGS) / Sales;</w:t>
      </w:r>
    </w:p>
    <w:p w14:paraId="6C55A2D3" w14:textId="523D5D33" w:rsidR="008A6F21" w:rsidRDefault="008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RDS: (SALE-COGS) / SALE</w:t>
      </w:r>
    </w:p>
    <w:p w14:paraId="56DBBC9D" w14:textId="46DFC0F4" w:rsidR="008A6F21" w:rsidRDefault="008A6F21">
      <w:pPr>
        <w:rPr>
          <w:rFonts w:ascii="Times New Roman" w:hAnsi="Times New Roman" w:cs="Times New Roman"/>
        </w:rPr>
      </w:pPr>
    </w:p>
    <w:p w14:paraId="10FA3C64" w14:textId="172D54EE" w:rsidR="008A6F21" w:rsidRDefault="008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8: </w:t>
      </w:r>
      <w:r>
        <w:rPr>
          <w:rFonts w:ascii="Times New Roman" w:hAnsi="Times New Roman" w:cs="Times New Roman" w:hint="eastAsia"/>
        </w:rPr>
        <w:t>权益乘数杠杆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(Financial Leverage Ratio): Avg Total Asset / Shareholders’ Equity;</w:t>
      </w:r>
    </w:p>
    <w:p w14:paraId="411FFB6A" w14:textId="23C79B2C" w:rsidR="008A6F21" w:rsidRPr="008A6F21" w:rsidRDefault="008A6F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WRDS: AT (avg) / SEQ (avg)</w:t>
      </w:r>
    </w:p>
    <w:sectPr w:rsidR="008A6F21" w:rsidRPr="008A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21"/>
    <w:rsid w:val="008A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4D88"/>
  <w15:chartTrackingRefBased/>
  <w15:docId w15:val="{91CAA8B0-9C8C-434E-AF38-FB9A9D4E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1</cp:revision>
  <dcterms:created xsi:type="dcterms:W3CDTF">2022-07-19T12:25:00Z</dcterms:created>
  <dcterms:modified xsi:type="dcterms:W3CDTF">2022-07-19T12:30:00Z</dcterms:modified>
</cp:coreProperties>
</file>