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Bold" w:hAnsi="Times New Roman Bold" w:cs="Times New Roman Bold"/>
          <w:b/>
          <w:bCs/>
          <w:sz w:val="24"/>
          <w:szCs w:val="24"/>
          <w:u w:val="single"/>
        </w:rPr>
      </w:pPr>
      <w:bookmarkStart w:id="0" w:name="_GoBack"/>
      <w:bookmarkEnd w:id="0"/>
      <w:r>
        <w:rPr>
          <w:rFonts w:hint="default" w:ascii="Times New Roman Bold" w:hAnsi="Times New Roman Bold" w:cs="Times New Roman Bold"/>
          <w:b/>
          <w:bCs/>
          <w:sz w:val="24"/>
          <w:szCs w:val="24"/>
          <w:u w:val="single"/>
        </w:rPr>
        <w:t>Bridgewater Associates</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AI Transition and Strategy: Bridgewater is currently transitioning towards an AI-based investment strategy, focusing on developing a machine-learning engine to forecast global economic events and guide investment allocation.</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Artificial Investment Associate (AIA) Lab: The firm's AIA Lab, staffed with seasoned investors and machine-learning experts, plays a pivotal role in transitioning Bridgewater's entire investment methodology to machine learning, from analyzing financial trends to formulating and testing investment theories.</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Human Oversight: Despite the significant role of AI, human oversight remains integral to Bridgewater's approach, especially in risk management, with measures like a manual 'kill switch' in place.</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Global Economic Forecasting: The AI strategy at Bridgewater is heavily oriented towards macroeconomic forecasting, blending AI analysis with human judgment for investment decisions.</w:t>
      </w:r>
    </w:p>
    <w:p>
      <w:pPr>
        <w:spacing w:line="480" w:lineRule="auto"/>
        <w:rPr>
          <w:rFonts w:hint="default" w:ascii="Times New Roman Bold" w:hAnsi="Times New Roman Bold" w:cs="Times New Roman Bold"/>
          <w:b/>
          <w:bCs/>
          <w:sz w:val="24"/>
          <w:szCs w:val="24"/>
          <w:u w:val="single"/>
        </w:rPr>
      </w:pPr>
      <w:r>
        <w:rPr>
          <w:rFonts w:hint="default" w:ascii="Times New Roman Bold" w:hAnsi="Times New Roman Bold" w:cs="Times New Roman Bold"/>
          <w:b/>
          <w:bCs/>
          <w:sz w:val="24"/>
          <w:szCs w:val="24"/>
          <w:u w:val="single"/>
        </w:rPr>
        <w:t>High-Flyer Quant</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Longstanding AI Integration: Since 2008, High-Flyer Quant has been integrating AI and machine learning into its investment strategies, indicating a deep-rooted AI-centric culture within the firm.</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Data-Driven Strategy: With over 10PB of diverse data collected, the firm's strategy heavily relies on big data analytics for a nuanced analysis of market trends and mispricing opportunities.</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Proactive Market Tactics: High-Flyer focuses on identifying market mispricing and conducting reverse transactions, suggesting a more aggressive, market-reactive investment strategy.</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Technological Innovation: The proprietary Fire-Flyer series of AI deep learning platforms highlight High-Flyer's commitment to technological innovation, using powerful computing for efficient idea verification.</w:t>
      </w:r>
    </w:p>
    <w:p>
      <w:pPr>
        <w:spacing w:line="480" w:lineRule="auto"/>
        <w:rPr>
          <w:rFonts w:hint="default" w:ascii="Times New Roman Bold" w:hAnsi="Times New Roman Bold" w:cs="Times New Roman Bold"/>
          <w:b/>
          <w:bCs/>
          <w:sz w:val="24"/>
          <w:szCs w:val="24"/>
          <w:u w:val="single"/>
        </w:rPr>
      </w:pPr>
      <w:r>
        <w:rPr>
          <w:rFonts w:hint="default" w:ascii="Times New Roman Bold" w:hAnsi="Times New Roman Bold" w:cs="Times New Roman Bold"/>
          <w:b/>
          <w:bCs/>
          <w:sz w:val="24"/>
          <w:szCs w:val="24"/>
          <w:u w:val="single"/>
        </w:rPr>
        <w:t>Comparative Analysis</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Integration Depth: High-Flyer Quant has a more profound and longstanding integration of AI, while Bridgewater is still adapting its AI capabilities.</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Focus of AI Strategy: High-Flyer’s approach is data-intensive, leveraging large datasets for market analysis, while Bridgewater focuses on macroeconomic forecasting and investment allocation.</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Risk Management Approach: High-Flyer's strategy might imply a higher risk profile due to its proactive market tactics, whereas Bridgewater's balanced approach of AI and human insight suggests a more risk-averse stance.</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Technology vs. Theory: High-Flyer emphasizes technological innovation in its platforms, whereas Bridgewater focuses on developing AI-driven investment theories and methodologies.</w:t>
      </w:r>
    </w:p>
    <w:p>
      <w:pPr>
        <w:spacing w:line="480" w:lineRule="auto"/>
        <w:rPr>
          <w:rFonts w:hint="eastAsia" w:ascii="Times New Roman" w:hAnsi="Times New Roman" w:cs="Times New Roman"/>
          <w:sz w:val="24"/>
          <w:szCs w:val="24"/>
        </w:rPr>
      </w:pP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In summary, both Bridgewater Associates and High-Flyer Quant represent the growing influence of AI in finance but differ in their AI integration depth, investment focus, risk management approaches, and the balance between technological innovation and theoretical development in AI-driven strategies.</w:t>
      </w:r>
    </w:p>
    <w:sectPr>
      <w:pgSz w:w="11906" w:h="16838"/>
      <w:pgMar w:top="113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oNotDisplayPageBoundaries w:val="1"/>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04"/>
    <w:rsid w:val="00BF2BE7"/>
    <w:rsid w:val="00E90204"/>
    <w:rsid w:val="EDB10992"/>
    <w:rsid w:val="F17DE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345</Words>
  <Characters>1970</Characters>
  <Lines>16</Lines>
  <Paragraphs>4</Paragraphs>
  <TotalTime>13</TotalTime>
  <ScaleCrop>false</ScaleCrop>
  <LinksUpToDate>false</LinksUpToDate>
  <CharactersWithSpaces>2311</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2023-12-06T17:19:00Z</dcterms:created>
  <dc:creator>Kexuan Ma (SME-FinTech, 120090651)</dc:creator>
  <cp:lastModifiedBy>chenzl_1201</cp:lastModifiedBy>
  <dcterms:modified xsi:type="dcterms:W3CDTF">2023-12-07T15:21:32Z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3C0D70068034ADB455727165C2CC0F16</vt:lpwstr>
  </property>
</Properties>
</file>