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equities and financials have moved moderately in the same direction as 10-year yields, with the S&amp;P 500 and Nasdaq showing somewhat stronger positive linkage than small caps. Utilities stand out with a relatively strong and consistently negative correlation, indicating that rate sensitivity is concentrated in this traditionally interest‑rate‑exposed sector. The shorter 15-day window shows even tighter co-movement across equities and a sharper inverse response in utilities, while the 90-day readings remain closer to neutral, underscoring how recently this rate sensitivity has intensified.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