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gold, where a moderate negative correlation implies that stronger dollar moves have recently lined up with weaker gold returns. Equities and bitcoin show only mild, consistently negative ties to the USD, suggesting a looser and less reliable inverse relationship. Oil and broad commodities currently sit in a contained range versus the dollar on this window, with their recent 15-day readings hinting at more positive but still unsettled USD linkages.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