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equities have been moving moderately in the same direction as yields, with the Nasdaq 100 and S&amp;P 500 showing the strongest positive linkage and small caps somewhat less tied to rate moves. Financials are also positively aligned with yields, similar in strength to the broad market. Utilities stand out with a consistently strong negative correlation to yields across 15D, 30D, and 90D windows, indicating that rate sensitivity is concentrated in this defensive sector on the downside.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