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USD correlations: Over the last 30 trading days, USD sensitivity is concentrated in gold, which shows a persistent, moderate inverse linkage to the dollar across all windows, meaning gold has tended to rise when the USD falls and vice versa. In contrast, the S&amp;P 500, oil, broad commodities, and bitcoin all show only mild and somewhat unstable correlations with the USD, suggesting their recent day-to-day moves have been largely independent of dollar swings. Over 15 and 90 trading days, that pattern holds: gold remains the primary USD-sensitive asset in this set, while the others display contained and shifting relationships to the dollar.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