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Rates correlations: Equities show mild, mixed sensitivity to 10-year yields over the past 30 trading days, with the S&amp;P 500 and Nasdaq 100 modestly negative and Russell 2000 barely linked, suggesting broad stocks are not tightly tethered to day-to-day rate moves right now. Utilities retain a more defensive, rate‑sensitive profile, but that influence is only modest at 30 days and weaker than their sharper 15-day reaction. Financials show very little 30-day correlation, indicating that recent moves in bank and financial stocks have not closely tracked changes in yields.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